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10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2100" w:type="dxa"/>
        <w:jc w:val="center"/>
        <w:tblInd w:w="0" w:type="dxa"/>
        <w:tblLayout w:type="fixed"/>
        <w:tblCellMar>
          <w:top w:w="28" w:type="dxa"/>
          <w:left w:w="28" w:type="dxa"/>
          <w:bottom w:w="28" w:type="dxa"/>
          <w:right w:w="28" w:type="dxa"/>
        </w:tblCellMar>
      </w:tblPr>
      <w:tblGrid>
        <w:gridCol w:w="391"/>
        <w:gridCol w:w="344"/>
        <w:gridCol w:w="346"/>
        <w:gridCol w:w="297"/>
        <w:gridCol w:w="297"/>
        <w:gridCol w:w="42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40"/>
              </w:rPr>
            </w:pPr>
            <w:r>
              <w:rPr>
                <w:rFonts w:ascii="Times New Roman;serif" w:hAnsi="Times New Roman;serif"/>
                <w:b/>
                <w:color w:val="000000"/>
                <w:sz w:val="40"/>
              </w:rPr>
              <w:t>Form</w:t>
            </w:r>
          </w:p>
        </w:tc>
        <w:tc>
          <w:tcPr>
            <w:tcW w:w="1019" w:type="dxa"/>
            <w:gridSpan w:val="3"/>
            <w:tcBorders>
              <w:top w:val="single" w:sz="12" w:space="0" w:color="000000"/>
              <w:bottom w:val="single" w:sz="12"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40"/>
              </w:rPr>
            </w:pPr>
            <w:r>
              <w:rPr>
                <w:rFonts w:ascii="Times New Roman;serif" w:hAnsi="Times New Roman;serif"/>
                <w:b/>
                <w:color w:val="000000"/>
                <w:sz w:val="40"/>
              </w:rPr>
              <w:t>10-Q</w:t>
            </w:r>
          </w:p>
        </w:tc>
      </w:tr>
    </w:tbl>
    <w:tbl>
      <w:tblPr>
        <w:tblW w:w="7902" w:type="dxa"/>
        <w:jc w:val="center"/>
        <w:tblInd w:w="0" w:type="dxa"/>
        <w:tblLayout w:type="fixed"/>
        <w:tblCellMar>
          <w:top w:w="28" w:type="dxa"/>
          <w:left w:w="28" w:type="dxa"/>
          <w:bottom w:w="28" w:type="dxa"/>
          <w:right w:w="28" w:type="dxa"/>
        </w:tblCellMar>
      </w:tblPr>
      <w:tblGrid>
        <w:gridCol w:w="124"/>
        <w:gridCol w:w="109"/>
        <w:gridCol w:w="109"/>
        <w:gridCol w:w="2214"/>
        <w:gridCol w:w="2214"/>
        <w:gridCol w:w="31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7946" w:type="dxa"/>
        <w:jc w:val="center"/>
        <w:tblInd w:w="0" w:type="dxa"/>
        <w:tblLayout w:type="fixed"/>
        <w:tblCellMar>
          <w:top w:w="28" w:type="dxa"/>
          <w:left w:w="28" w:type="dxa"/>
          <w:bottom w:w="28" w:type="dxa"/>
          <w:right w:w="28" w:type="dxa"/>
        </w:tblCellMar>
      </w:tblPr>
      <w:tblGrid>
        <w:gridCol w:w="124"/>
        <w:gridCol w:w="109"/>
        <w:gridCol w:w="109"/>
        <w:gridCol w:w="2221"/>
        <w:gridCol w:w="2221"/>
        <w:gridCol w:w="3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transition period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100"/>
        <w:jc w:val="center"/>
        <w:rPr>
          <w:rFonts w:ascii="Times New Roman;serif" w:hAnsi="Times New Roman;serif"/>
          <w:b/>
          <w:color w:val="000000"/>
          <w:sz w:val="20"/>
        </w:rPr>
      </w:pPr>
      <w:r>
        <w:rPr>
          <w:rFonts w:ascii="Times New Roman;serif" w:hAnsi="Times New Roman;serif"/>
          <w:b/>
          <w:color w:val="000000"/>
          <w:sz w:val="20"/>
        </w:rPr>
        <w:t>Commission file number 001-10962</w:t>
      </w:r>
    </w:p>
    <w:tbl>
      <w:tblPr>
        <w:tblW w:w="3956" w:type="dxa"/>
        <w:jc w:val="center"/>
        <w:tblInd w:w="0" w:type="dxa"/>
        <w:tblLayout w:type="fixed"/>
        <w:tblCellMar>
          <w:top w:w="28" w:type="dxa"/>
          <w:left w:w="28" w:type="dxa"/>
          <w:bottom w:w="28" w:type="dxa"/>
          <w:right w:w="28" w:type="dxa"/>
        </w:tblCellMar>
      </w:tblPr>
      <w:tblGrid>
        <w:gridCol w:w="470"/>
        <w:gridCol w:w="412"/>
        <w:gridCol w:w="412"/>
        <w:gridCol w:w="412"/>
        <w:gridCol w:w="412"/>
        <w:gridCol w:w="412"/>
        <w:gridCol w:w="412"/>
        <w:gridCol w:w="412"/>
        <w:gridCol w:w="602"/>
      </w:tblGrid>
      <w:tr>
        <w:trPr/>
        <w:tc>
          <w:tcPr>
            <w:tcW w:w="47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20"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Callaway Golf Company</w:t>
            </w:r>
          </w:p>
        </w:tc>
      </w:tr>
      <w:tr>
        <w:trPr/>
        <w:tc>
          <w:tcPr>
            <w:tcW w:w="3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c>
      </w:tr>
    </w:tbl>
    <w:tbl>
      <w:tblPr>
        <w:tblW w:w="4181"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95-3797580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2180 Rutherford Road, Carlsbad, CA 92008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(760) 931-1771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49" w:type="dxa"/>
        <w:jc w:val="left"/>
        <w:tblInd w:w="0" w:type="dxa"/>
        <w:tblLayout w:type="fixed"/>
        <w:tblCellMar>
          <w:top w:w="28" w:type="dxa"/>
          <w:left w:w="28" w:type="dxa"/>
          <w:bottom w:w="28" w:type="dxa"/>
          <w:right w:w="28" w:type="dxa"/>
        </w:tblCellMar>
      </w:tblPr>
      <w:tblGrid>
        <w:gridCol w:w="1267"/>
        <w:gridCol w:w="1108"/>
        <w:gridCol w:w="1120"/>
        <w:gridCol w:w="564"/>
        <w:gridCol w:w="564"/>
        <w:gridCol w:w="566"/>
        <w:gridCol w:w="1157"/>
        <w:gridCol w:w="1157"/>
        <w:gridCol w:w="1646"/>
      </w:tblGrid>
      <w:tr>
        <w:trPr/>
        <w:tc>
          <w:tcPr>
            <w:tcW w:w="12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9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CALY</w:t>
            </w:r>
          </w:p>
        </w:tc>
        <w:tc>
          <w:tcPr>
            <w:tcW w:w="39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120" w:after="283"/>
        <w:ind w:left="0" w:right="0" w:firstLine="495"/>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ind w:left="0" w:right="0" w:firstLine="495"/>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ind w:left="0" w:right="0" w:firstLine="495"/>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495"/>
        <w:jc w:val="left"/>
        <w:rPr/>
      </w:pPr>
      <w:r>
        <w:rPr>
          <w:rFonts w:ascii="Times New Roman;serif" w:hAnsi="Times New Roman;serif"/>
          <w:b w:val="false"/>
          <w:color w:val="000000"/>
          <w:sz w:val="20"/>
        </w:rPr>
        <w:t>As of August 3, 2026, the number of shares outstanding of the Registrant’s common stock was</w:t>
      </w:r>
      <w:r>
        <w:rPr>
          <w:color w:val="000000"/>
          <w:shd w:fill="FFFFFF" w:val="clear"/>
        </w:rPr>
        <w:t xml:space="preserve"> </w:t>
      </w:r>
      <w:r>
        <w:rPr>
          <w:rFonts w:ascii="Times New Roman;serif" w:hAnsi="Times New Roman;serif"/>
          <w:b w:val="false"/>
          <w:color w:val="000000"/>
          <w:sz w:val="20"/>
          <w:shd w:fill="FFFFFF" w:val="clear"/>
        </w:rPr>
        <w:t>178,510,521.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95"/>
        <w:jc w:val="both"/>
        <w:rPr/>
      </w:pPr>
      <w:r>
        <w:rPr>
          <w:rFonts w:ascii="Times New Roman;serif" w:hAnsi="Times New Roman;serif"/>
          <w:b/>
          <w:i/>
          <w:color w:val="000000"/>
          <w:sz w:val="20"/>
        </w:rPr>
        <w:t>Important Notice to Investors Regarding Forward-Looking Statements:</w:t>
      </w:r>
      <w:r>
        <w:rPr>
          <w:color w:val="000000"/>
        </w:rPr>
        <w:t xml:space="preserve"> </w:t>
      </w:r>
      <w:r>
        <w:rPr>
          <w:rFonts w:ascii="Times New Roman;serif" w:hAnsi="Times New Roman;serif"/>
          <w:b w:val="false"/>
          <w:color w:val="000000"/>
          <w:sz w:val="20"/>
        </w:rPr>
        <w:t>This report contains “forward-looking statements” as defined under the Private Securities Litigation Reform Act of 1995. Forward-looking statements can be identified by words such as: “may,” “should,” “will,” “could,” “would,” “anticipate,” “plan,” “believe,” “project,” “estimate,” “expect,” “strategy,” “future,” “likely,” and similar references to future periods. Forward-looking statements include, among others, statements that relate to future plans, events, liquidity, financial results, performance, prospects or growth and scale opportunities including, but not limited to, statements relating to our intention to repurchase shares of our common stock pursuant to a stock repurchase program, the anticipated timing, amount and impact of the stock repurchase program, delivering long-term value for shareholders, further growth and investments in our core business, the anticipated benefits and other effects of the sale of the majority stake of our Topgolf International, Inc. (“Topgolf”) business, the expected financial and operational performance of, and future opportunities for, each of the two independent companies following the sale, the tax treatment of the sale, future industry and market conditions, strength and demand of our products and services, continued brand momentum, demand for golf and outdoor activities and apparel, continued investments in the business, consumer trends and behavior, the strength of our brands, product lines and e-commerce business, pending litigation, availability of capital under our credit facilities, the capital markets or other sources, our conservation and cost reduction efforts, compliance with debt covenants, projected capital expenditures, future contractual obligations, the realization of deferred tax assets, including loss and credit carryforwards, future income tax provision, the future impact of new accounting standards, the impacts of inflation and changes in foreign exchange rates, the impact of tariffs and the timing and amount of any tariff refunds, and future prospects and growth of our businesses, including TravisMathew, LLC (“TravisMathew”) and OGIO International, Inc. (“OGIO”). These statements are based upon current information and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As a result of these uncertainties and because the information on which these forward-looking statements is based may ultimately prove to be incorrect, actual results may differ materially from those anticipated. Important factors that could cause actual results to differ include, among others,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certain risks and uncertainties, including changes in capital markets or economic conditions, particularly the uncertainty related to inflation, decreases in consumer demand and spending and any severe or prolonged economic downturn;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potential failure to realize the expected benefits of strategic transactions, in the expected timeframes or at all, including our recent divestitures of Jack Wolfskin and 60% of our Topgolf and Toptracer businesses;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consumer acceptance of and demand for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future retailer purchasing activity, which can be significantly affected by adverse industry conditions and overall retail inventory levels;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unfavorable changes in trade or other policies by the U.S. government or foreign governments, including restrictions on imports, increases in U.S. import tariffs, retaliatory tariffs imposed by other countries on U.S. imports, and the potential negative economic consequences thereof, including increased costs, unavailability of materials, inflation, decreased customer demand, an economic slowdown or general economic uncertainty;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level of promotional activity in the marketplace;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future consumer discretionary purchasing activity, which can be significantly adversely affected by unfavorable economic or market conditions;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future changes in foreign currency exchange rates and the degree of effectiveness of our hedging programs;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manage international business risks;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recognize operational synergies and scale opportunities across our supply chain and global business platform;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adverse changes in the credit markets or continued compliance with the terms of our credit facilities;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monetize our investments, including without limitation, our remaining stake in Topgolf;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successfully operate and, if applicable, expand the retail stores of TravisMathew and our Japan and Korea apparel businesses;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delays, difficulties or increased costs in the supply of components needed to manufacture our products or in manufacturing our products, including our dependence on a limited number of suppliers for some of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adverse weather conditions and seasonality;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816610"/>
                <wp:effectExtent l="0" t="0" r="0" b="0"/>
                <wp:wrapNone/>
                <wp:docPr id="2" name="Frame2"/>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rule changes or other actions taken by the United States Golf Association or other golf associations that could have an adverse impact upon demand or supply of our products;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protect our intellectual property rights;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decrease in participation levels in golf;</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effect of terrorist activity, armed conflict (including without limitation, the situation in Iran and the broader Middle East), natural disasters or pandemic diseases, on the economy generally, on the level of demand for our products or on our ability to manage our supply and delivery logistics in such an environment;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general risks and uncertainties applicable to us and our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Investors should not place undue reliance on these forward-looking statements, which are based on current information and speak only as of the date hereof. We undertake no obligation to update any forward-looking statements to reflect new information or events or circumstances after the date hereof or to reflect the occurrence of unanticipated events. Investors should also be aware that while we from time to time communicate with securities analysts, it is against our policy to disclose to them any material non-public information or other confidential commercial information. Furthermore, we have a policy against distributing or confirming financial forecasts or projections issued by analysts and any reports issued by such analysts are not our responsibility. Investors should not assume that we agree with any report issued by any analyst or with any statements, projections, forecasts or opinions contained in any such report. For details concerning these and other risks and uncertainties, see our most recent Annual Report on Form 10-K, as well as our quarterly reports on Form 10-Q and current reports on Form 8-K subsequently filed with the Securities and Exchange Commission from time to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816610"/>
                <wp:effectExtent l="0" t="0" r="0" b="0"/>
                <wp:wrapNone/>
                <wp:docPr id="3" name="Frame3"/>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95"/>
        <w:jc w:val="both"/>
        <w:rPr/>
      </w:pPr>
      <w:r>
        <w:rPr>
          <w:rFonts w:ascii="Times New Roman;serif" w:hAnsi="Times New Roman;serif"/>
          <w:b/>
          <w:i/>
          <w:color w:val="000000"/>
          <w:sz w:val="20"/>
          <w:shd w:fill="FFFFFF" w:val="clear"/>
        </w:rPr>
        <w:t xml:space="preserve">Company Trademarks: </w:t>
      </w:r>
      <w:r>
        <w:rPr>
          <w:rFonts w:ascii="Times New Roman;serif" w:hAnsi="Times New Roman;serif"/>
          <w:b w:val="false"/>
          <w:i/>
          <w:color w:val="000000"/>
          <w:sz w:val="20"/>
          <w:shd w:fill="FFFFFF" w:val="clear"/>
        </w:rPr>
        <w:t>The following marks and phrases, among others, are our trademarks: ½ Ball, #1 Irons in Golf, #1 Putter in Golf, #1 Putter on Tour, 2-Ball, 2-Ball Fang, 2-Ball Jailbird, 2 Ball Putter Design, 360 Carbon Chassis, 360 Face Cup, 360 Fade, 360 UC, 3 Deep, Ai 10x Face, Ai150, Ai200, Ai300, Ai-Dual, AI One 24, AI One Cruiser, AI Smart Face, AI Smoke, Ai-One Square 2 Square Max 1, Ai-One Square 2 Square Max Stripe, All Ride. All the Time., All Walk. All the Time., Alpha Convoy, Alpha Venture, A Mark to Remember, Anamatic, Apex, Apex 21, Apex Ai150, Apex Ai200, Apex Ai300, Apex CB, Apex DCB, Apex MB, Apex Pro, Apex Smoke, Apex TCB, Apex Ti Fusion, Apex Ti Fusion 250, Apex Tour, Apex UT, Apex UW, APW, A Quantum Leap in Distance, Arm Lock, B21, Backstryke, Beachside Stealth, Big Bertha, Big Bertha Alpha, Big Bertha B21, Big Bertha Diablo, Big Bertha Diablo &amp; Horned Shield Design, Big Bertha REVA, Biggest Big Bertha, Big T, Birdiebrigade, Bird of Prey, Black Series, Black Series I, Bogey Free, Broomstick, Callaway, Callaway #1 Irons in Golf, Callaway Aura, Callaway Cargo, Callaway CB12, Callaway Chase, Callaway Chase 14, Callaway Customs, Callaway Edge, Callaway Elyte, Callaway Golf, Callaway Inertia, Callaway Legacy Collection, Callaway Media Productions, Callaway Next, Callaway Opus, Callaway Opus Platinum, Callaway Paradym Night Mode, Callaway Quantum, Callaway Superfast, Callaway Super Hybrid, Callaway Supersoft, Callaway Supersoft Splatter 360, Callaway XR, Caly, Capital, Catch it Clean, Cavity Back Design Pattern (X-14), C Circle Design, CF16, C-Grind, Chev, Chev 18, Chevron Design, Chrome Soft, Chrome Soft X, Chrome Tour, Circle Patch Design, Cloud Collection, Cloud Hoodie, Cloud Polo, Cloud Tee, Cloud Waffle, Coastview, Coolagen, Cuater, Cuater C logo, Cutwave Sole, CXR, Cyclone Aero Shape, Damascus Milled, Dawn Patrol, Demonstrably Superior And Pleasingly Different, Destinations by TravisMathew, DFX, Diablo Forged, Diablo Octane, Diablo Tour, Distance Fitting from Callaway, Distance that Defies Convention, Divine Line, Divine Nine, Double Wide, Downwind, Driver Defender, DSPD, Dual Force, Dual Softfast Core, Eagle, Elyte Night Edition, Elyte Sandstorm, Elyte X Night Edition, Engage, Epic, Epic Flash, Epic Max, Epic Max LS, Epic Speed, Epic Star, ERC, E.R.C. Fusion Stylized, ERC II, ERC Soft, Exclusive Tartan Collection, Extended Season, Fairway+, Fairway14, FairwayC, Fateline, Favorite Track, Fit Disc, Flash Face, Flash Face SS21, Flash Face SS22, Flex Pod, FLX360, Fore Me, Forged 455, Forged X, Formfinesse, Freebird, Freebird Cruiser, Freebird Mini, Freshband, Friday Ponte, Frost Delay, FT-3, FT-5, FT9, FT-I, FT IQ, FTIZ, FT Optiforce, FT Tour, Fusetech, Fusion, Gambit Pro, GBB, GBB Epic, Gems, Giraffe-Beam, Giraffe Design in Circle, Golf Fusion, Golf Nerd, Golf Shaft (Red &amp; Silver), Gravity Core, Great Big Bertha, Griptac, Hawk Eye, Headliner, Heater Active, Heater Pro Performance, Heater Series, Heater Series – Pure Performance, Heavenwood, Hex Aerodynamics, Hex Black Tour, Hex Diablo, Hex Soft, Hex Tour Soft, Hexbite, High Energy Core &amp; Orbit Design, Hightail, HX, HX Diablo, Hyper Dry, Hyper Elastic Softfast Core, Hyperlite, Hyper-Lite, Hyperlite Zero, Hyper Speed Face Cup, Hyper X, I-Mix, Inertia, Iron Shot, IZ Power Source, Jailbird, Jailbird Character Head Design, Jailbird Versa Striped Club Head Design, Jailbreak, Jailbreak AI Velocity Blades, Jailbreak Speed Frame, Jaws Full Toe, JAWS MD5, Kings of Distance, Lag Putt, Leader in Modern Golf, Legacy, Legacy Featherweight, Life On Tour, Longer From Everywhere, Lowrider, Lowrider 2.0., Lowrider Landing Zone, Mack Daddy, Mack Daddy CB, Mack Daddy Forged, Made to Meet the Moment, Magna, Make Every Shot Your Best, MarXman, Mavrik, MD3 Milled, MD4 Tactical, Microhinge Face Insert, Modern Golf, Moveknit, Night Mode, Nothing Beats This, Number One Putter in Golf, Odyssey O Logo, Ody, Odyssey, Odyssey AI One, Odyssey AI One Cruiser, Odyssey Chipper, Odyssey Eleven, Odyssey Max Stripe, Odyssey Seven, OG, Ogio, Ogio Aero, Ogio Alpha, Ogio Featherlite, Ogio Forge, Ogio Fuse, Ogio Pace, Ogio Rise, Ogio Shadow, OGIO Stylized, OGIO XIX, Open to Close, Opening Shot, Opti Color, Opti Dry, Opti Feel, OptiFit, Opti Fit, Opti Flex, Opti Grip, Opti Shield, OptiTherm, Opti Vent, Opus, Opus Platinum, Opus SP, ORG 14, ORG 14M, O Stylized, Our Favorite Time of the Year, Oworks, Pack. Discover. Explore., Paradym, Paradym AI Smoke, Paradym Night Mode, Patrons Welcome Collection, Playing Through, Poly Mesh, Power Edge Technology, Power &amp; Soft Feel for Slower Swing Speeds, Practice Green, ProType, PT Stylized, Quantum, ·R·, Rainspann, R Ball, RCH, Red Ball, Renegade, Renegade Collection, Renegade Vault, Reva Rise, Rig 9800, Rogue ST, ROGUE Stylized, Rossie, Rossie V, Rule 35, S2H2, S2S Tri-Hot, Sandstorm, Scenic Vista, Scoreline Pattern in White, See the Break, Shaft Shield, Silencer, Sir Isaac Newton Falling Apple Golf Design, Skyloft Soft, SLED, Slice Stopper, SMALL BATCH Hand Holding Hammer Badge, Solaire, Solar Noon, Speed Cartridge, Speed Frame, Speed Step, Speed Tuned, Speed Wave, Spin Gen Technology, Spin Machine, Spin Pocket, Square 2 Square, Square 2 Square Freebird, Square 2 Square Jailbird, Square Way, SRT, Steelhead, Steelhead XR, Step Sole, Strata, Strata Boom, Stroke Lab, Sub Zero, Superhot, Sure-Out, Sweeter from Every Spot, Swing Tech, Swirl Design, Swirl Design &amp; ODYSSEY, Syntech, Tank, TA Winter, Tee It High, Thermal Bomber, TMove, Ti 340 Mini, Ti340 Mini Driver, TM Stylized, TM Stylized &amp; TRAVISMATHEW (Horizontal), TM Stylized &amp; TRAVISMATHEW (Vertical), Toe Up, Tour Aero, Tour Authentic, Tour Authentic Triple Diamond, Tour I, Tour IZ, Tour Tested, Trade In! Trade Up!, Training Aid, TravisMathew, TravisMathew Country Club, Tri Hot, Tri-Beam, Triforce, Tri-Hot 5K, Triple Diamond, Triple Diamond Design, TRIPLE TRACK, Triple Track Stripes Design, Trutrack, Truvis, Truvis Pattern, Tungsten Speed Cartridge, Tungsten Speed Wave, Tuttle, Versa, VFT, VTEC, Walk. Push. Ride., Warbird, War Bird, Weather Series, Weather Spann, Wedgeducation, We’re Only Going Further, W-Grind, White Damascus, White Hot, White Hot Microhinge, White Hot OG, White Hot RX Stylized, White Hot Tour, White Hot XG, White Ice, White Trapezoid Design, Wing Back, Winter Rules, Winter Tees, Winter Term, Woode, X-12, X-14, X18, X-18, X-20, X-22, X-24, X460, X-ACT, X Forged, X Hot, X Hot Pro, XR16, XR OS, XR Speed, XR Stylized, X Series, X Series Jaws, X-Spann, X Stylized, X-Tech, XTT, Z Grind, Zinna.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16610"/>
                <wp:effectExtent l="0" t="0" r="0" b="0"/>
                <wp:wrapNone/>
                <wp:docPr id="4" name="Frame4"/>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409"/>
        <w:gridCol w:w="326"/>
        <w:gridCol w:w="306"/>
        <w:gridCol w:w="2772"/>
        <w:gridCol w:w="2674"/>
        <w:gridCol w:w="2658"/>
        <w:gridCol w:w="306"/>
        <w:gridCol w:w="306"/>
        <w:gridCol w:w="448"/>
      </w:tblGrid>
      <w:tr>
        <w:trPr/>
        <w:tc>
          <w:tcPr>
            <w:tcW w:w="4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674"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e251647b00a2402eaa1002fa779d39f1_13">
              <w:r>
                <w:rPr>
                  <w:rStyle w:val="InternetLink"/>
                  <w:rFonts w:ascii="Times New Roman;serif" w:hAnsi="Times New Roman;serif"/>
                  <w:b/>
                  <w:strike w:val="false"/>
                  <w:dstrike w:val="false"/>
                  <w:color w:val="000000"/>
                  <w:sz w:val="20"/>
                  <w:u w:val="none"/>
                  <w:effect w:val="none"/>
                </w:rPr>
                <w:t>PART I. FINANCIAL INFORMATION</w:t>
              </w:r>
            </w:hyperlink>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251647b00a2402eaa1002fa779d39f1_16">
              <w:r>
                <w:rPr>
                  <w:rStyle w:val="InternetLink"/>
                  <w:rFonts w:ascii="Times New Roman;serif" w:hAnsi="Times New Roman;serif"/>
                  <w:b w:val="false"/>
                  <w:strike w:val="false"/>
                  <w:dstrike w:val="false"/>
                  <w:color w:val="000000"/>
                  <w:sz w:val="20"/>
                  <w:u w:val="none"/>
                  <w:effect w:val="none"/>
                </w:rPr>
                <w:t>Financial Statements (Unaudited)</w:t>
              </w:r>
            </w:hyperlink>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51647b00a2402eaa1002fa779d39f1_13">
              <w:r>
                <w:rPr>
                  <w:rStyle w:val="InternetLink"/>
                  <w:rFonts w:ascii="Times New Roman;serif" w:hAnsi="Times New Roman;serif"/>
                  <w:b w:val="false"/>
                  <w:strike w:val="false"/>
                  <w:dstrike w:val="false"/>
                  <w:color w:val="000000"/>
                  <w:sz w:val="20"/>
                  <w:u w:val="none"/>
                  <w:effect w:val="none"/>
                </w:rPr>
                <w:t>6</w:t>
              </w:r>
            </w:hyperlink>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251647b00a2402eaa1002fa779d39f1_19">
              <w:r>
                <w:rPr>
                  <w:rStyle w:val="InternetLink"/>
                  <w:rFonts w:ascii="Times New Roman;serif" w:hAnsi="Times New Roman;serif"/>
                  <w:b w:val="false"/>
                  <w:strike w:val="false"/>
                  <w:dstrike w:val="false"/>
                  <w:color w:val="000000"/>
                  <w:sz w:val="20"/>
                  <w:u w:val="none"/>
                  <w:effect w:val="none"/>
                </w:rPr>
                <w:t xml:space="preserve">Condensed Consolidated Balance Sheets as of </w:t>
              </w:r>
            </w:hyperlink>
            <w:r>
              <w:rPr>
                <w:rFonts w:ascii="Times New Roman;serif" w:hAnsi="Times New Roman;serif"/>
                <w:b w:val="false"/>
                <w:color w:val="000000"/>
                <w:sz w:val="20"/>
              </w:rPr>
              <w:t>June 30, 2026</w:t>
            </w:r>
            <w:hyperlink w:anchor="ie251647b00a2402eaa1002fa779d39f1_19">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31, 2025</w:t>
            </w:r>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51647b00a2402eaa1002fa779d39f1_19">
              <w:r>
                <w:rPr>
                  <w:rStyle w:val="InternetLink"/>
                  <w:rFonts w:ascii="Times New Roman;serif" w:hAnsi="Times New Roman;serif"/>
                  <w:b w:val="false"/>
                  <w:strike w:val="false"/>
                  <w:dstrike w:val="false"/>
                  <w:color w:val="000000"/>
                  <w:sz w:val="20"/>
                  <w:u w:val="none"/>
                  <w:effect w:val="none"/>
                </w:rPr>
                <w:t>6</w:t>
              </w:r>
            </w:hyperlink>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251647b00a2402eaa1002fa779d39f1_22">
              <w:r>
                <w:rPr>
                  <w:rStyle w:val="InternetLink"/>
                  <w:rFonts w:ascii="Times New Roman;serif" w:hAnsi="Times New Roman;serif"/>
                  <w:b w:val="false"/>
                  <w:strike w:val="false"/>
                  <w:dstrike w:val="false"/>
                  <w:color w:val="000000"/>
                  <w:sz w:val="20"/>
                  <w:u w:val="none"/>
                  <w:effect w:val="none"/>
                </w:rPr>
                <w:t>Condensed Consolidated Statements of Operations for the</w:t>
              </w:r>
            </w:hyperlink>
            <w:r>
              <w:rPr>
                <w:rFonts w:ascii="Times New Roman;serif" w:hAnsi="Times New Roman;serif"/>
                <w:b w:val="false"/>
                <w:color w:val="000000"/>
                <w:sz w:val="20"/>
              </w:rPr>
              <w:t xml:space="preserve"> three and six months</w:t>
            </w:r>
            <w:hyperlink w:anchor="ie251647b00a2402eaa1002fa779d39f1_22">
              <w:r>
                <w:rPr>
                  <w:rStyle w:val="InternetLink"/>
                  <w:rFonts w:ascii="Times New Roman;serif" w:hAnsi="Times New Roman;serif"/>
                  <w:b w:val="false"/>
                  <w:strike w:val="false"/>
                  <w:dstrike w:val="false"/>
                  <w:color w:val="000000"/>
                  <w:sz w:val="20"/>
                  <w:u w:val="none"/>
                  <w:effect w:val="none"/>
                </w:rPr>
                <w:t xml:space="preserve"> ended </w:t>
              </w:r>
            </w:hyperlink>
            <w:r>
              <w:rPr>
                <w:rFonts w:ascii="Times New Roman;serif" w:hAnsi="Times New Roman;serif"/>
                <w:b w:val="false"/>
                <w:color w:val="000000"/>
                <w:sz w:val="20"/>
              </w:rPr>
              <w:t>June 30, 2026</w:t>
            </w:r>
            <w:hyperlink w:anchor="ie251647b00a2402eaa1002fa779d39f1_22">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51647b00a2402eaa1002fa779d39f1_22">
              <w:r>
                <w:rPr>
                  <w:rStyle w:val="InternetLink"/>
                  <w:rFonts w:ascii="Times New Roman;serif" w:hAnsi="Times New Roman;serif"/>
                  <w:b w:val="false"/>
                  <w:strike w:val="false"/>
                  <w:dstrike w:val="false"/>
                  <w:color w:val="000000"/>
                  <w:sz w:val="20"/>
                  <w:u w:val="none"/>
                  <w:effect w:val="none"/>
                </w:rPr>
                <w:t>7</w:t>
              </w:r>
            </w:hyperlink>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251647b00a2402eaa1002fa779d39f1_25">
              <w:r>
                <w:rPr>
                  <w:rStyle w:val="InternetLink"/>
                  <w:rFonts w:ascii="Times New Roman;serif" w:hAnsi="Times New Roman;serif"/>
                  <w:b w:val="false"/>
                  <w:strike w:val="false"/>
                  <w:dstrike w:val="false"/>
                  <w:color w:val="000000"/>
                  <w:sz w:val="20"/>
                  <w:u w:val="none"/>
                  <w:effect w:val="none"/>
                </w:rPr>
                <w:t>Condensed Consolidated Statements of Comprehensive Income (Loss)</w:t>
              </w:r>
            </w:hyperlink>
            <w:r>
              <w:rPr>
                <w:rFonts w:ascii="Times New Roman;serif" w:hAnsi="Times New Roman;serif"/>
                <w:b w:val="false"/>
                <w:color w:val="000000"/>
                <w:sz w:val="20"/>
              </w:rPr>
              <w:t xml:space="preserve"> for the three and six</w:t>
            </w:r>
            <w:hyperlink w:anchor="ie251647b00a2402eaa1002fa779d39f1_25">
              <w:r>
                <w:rPr>
                  <w:rStyle w:val="InternetLink"/>
                  <w:rFonts w:ascii="Times New Roman;serif" w:hAnsi="Times New Roman;serif"/>
                  <w:b w:val="false"/>
                  <w:strike w:val="false"/>
                  <w:dstrike w:val="false"/>
                  <w:color w:val="000000"/>
                  <w:sz w:val="20"/>
                  <w:u w:val="none"/>
                  <w:effect w:val="none"/>
                </w:rPr>
                <w:t xml:space="preserve"> months ended </w:t>
              </w:r>
            </w:hyperlink>
            <w:r>
              <w:rPr>
                <w:rFonts w:ascii="Times New Roman;serif" w:hAnsi="Times New Roman;serif"/>
                <w:b w:val="false"/>
                <w:color w:val="000000"/>
                <w:sz w:val="20"/>
              </w:rPr>
              <w:t>June 30, 2026</w:t>
            </w:r>
            <w:hyperlink w:anchor="ie251647b00a2402eaa1002fa779d39f1_25">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51647b00a2402eaa1002fa779d39f1_25">
              <w:r>
                <w:rPr>
                  <w:rStyle w:val="InternetLink"/>
                  <w:rFonts w:ascii="Times New Roman;serif" w:hAnsi="Times New Roman;serif"/>
                  <w:b w:val="false"/>
                  <w:strike w:val="false"/>
                  <w:dstrike w:val="false"/>
                  <w:color w:val="000000"/>
                  <w:sz w:val="20"/>
                  <w:u w:val="none"/>
                  <w:effect w:val="none"/>
                </w:rPr>
                <w:t>8</w:t>
              </w:r>
            </w:hyperlink>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251647b00a2402eaa1002fa779d39f1_28">
              <w:r>
                <w:rPr>
                  <w:rStyle w:val="InternetLink"/>
                  <w:rFonts w:ascii="Times New Roman;serif" w:hAnsi="Times New Roman;serif"/>
                  <w:b w:val="false"/>
                  <w:strike w:val="false"/>
                  <w:dstrike w:val="false"/>
                  <w:color w:val="000000"/>
                  <w:sz w:val="20"/>
                  <w:u w:val="none"/>
                  <w:effect w:val="none"/>
                </w:rPr>
                <w:t>Condensed Consolidated Statements of Cash Flows for the</w:t>
              </w:r>
            </w:hyperlink>
            <w:r>
              <w:rPr>
                <w:rFonts w:ascii="Times New Roman;serif" w:hAnsi="Times New Roman;serif"/>
                <w:b w:val="false"/>
                <w:color w:val="000000"/>
                <w:sz w:val="20"/>
              </w:rPr>
              <w:t xml:space="preserve"> six </w:t>
            </w:r>
            <w:hyperlink w:anchor="ie251647b00a2402eaa1002fa779d39f1_28">
              <w:r>
                <w:rPr>
                  <w:rStyle w:val="InternetLink"/>
                  <w:rFonts w:ascii="Times New Roman;serif" w:hAnsi="Times New Roman;serif"/>
                  <w:b w:val="false"/>
                  <w:strike w:val="false"/>
                  <w:dstrike w:val="false"/>
                  <w:color w:val="000000"/>
                  <w:sz w:val="20"/>
                  <w:u w:val="none"/>
                  <w:effect w:val="none"/>
                </w:rPr>
                <w:t xml:space="preserve">months ended </w:t>
              </w:r>
            </w:hyperlink>
            <w:r>
              <w:rPr>
                <w:rFonts w:ascii="Times New Roman;serif" w:hAnsi="Times New Roman;serif"/>
                <w:b w:val="false"/>
                <w:color w:val="000000"/>
                <w:sz w:val="20"/>
              </w:rPr>
              <w:t>June 30, 2026</w:t>
            </w:r>
            <w:hyperlink w:anchor="ie251647b00a2402eaa1002fa779d39f1_28">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51647b00a2402eaa1002fa779d39f1_28">
              <w:r>
                <w:rPr>
                  <w:rStyle w:val="InternetLink"/>
                  <w:rFonts w:ascii="Times New Roman;serif" w:hAnsi="Times New Roman;serif"/>
                  <w:b w:val="false"/>
                  <w:strike w:val="false"/>
                  <w:dstrike w:val="false"/>
                  <w:color w:val="000000"/>
                  <w:sz w:val="20"/>
                  <w:u w:val="none"/>
                  <w:effect w:val="none"/>
                </w:rPr>
                <w:t>9</w:t>
              </w:r>
            </w:hyperlink>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51647b00a2402eaa1002fa779d39f1_31">
              <w:r>
                <w:rPr>
                  <w:rStyle w:val="InternetLink"/>
                  <w:rFonts w:ascii="Times New Roman;serif" w:hAnsi="Times New Roman;serif"/>
                  <w:b w:val="false"/>
                  <w:strike w:val="false"/>
                  <w:dstrike w:val="false"/>
                  <w:color w:val="000000"/>
                  <w:sz w:val="20"/>
                  <w:u w:val="none"/>
                  <w:effect w:val="none"/>
                </w:rPr>
                <w:t>Condensed Consolidated Statements of Shareholders’ Equity for the</w:t>
              </w:r>
            </w:hyperlink>
            <w:r>
              <w:rPr>
                <w:rFonts w:ascii="Times New Roman;serif" w:hAnsi="Times New Roman;serif"/>
                <w:b w:val="false"/>
                <w:color w:val="000000"/>
                <w:sz w:val="20"/>
              </w:rPr>
              <w:t xml:space="preserve"> three and six</w:t>
            </w:r>
            <w:hyperlink w:anchor="ie251647b00a2402eaa1002fa779d39f1_31">
              <w:r>
                <w:rPr>
                  <w:rStyle w:val="InternetLink"/>
                  <w:rFonts w:ascii="Times New Roman;serif" w:hAnsi="Times New Roman;serif"/>
                  <w:b w:val="false"/>
                  <w:strike w:val="false"/>
                  <w:dstrike w:val="false"/>
                  <w:color w:val="000000"/>
                  <w:sz w:val="20"/>
                  <w:u w:val="none"/>
                  <w:effect w:val="none"/>
                </w:rPr>
                <w:t xml:space="preserve"> months ended </w:t>
              </w:r>
            </w:hyperlink>
            <w:r>
              <w:rPr>
                <w:rFonts w:ascii="Times New Roman;serif" w:hAnsi="Times New Roman;serif"/>
                <w:b w:val="false"/>
                <w:color w:val="000000"/>
                <w:sz w:val="20"/>
              </w:rPr>
              <w:t>June 30, 2026</w:t>
            </w:r>
            <w:hyperlink w:anchor="ie251647b00a2402eaa1002fa779d39f1_31">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51647b00a2402eaa1002fa779d39f1_31">
              <w:r>
                <w:rPr>
                  <w:rStyle w:val="InternetLink"/>
                  <w:rFonts w:ascii="Times New Roman;serif" w:hAnsi="Times New Roman;serif"/>
                  <w:b w:val="false"/>
                  <w:strike w:val="false"/>
                  <w:dstrike w:val="false"/>
                  <w:color w:val="000000"/>
                  <w:sz w:val="20"/>
                  <w:u w:val="none"/>
                  <w:effect w:val="none"/>
                </w:rPr>
                <w:t>10</w:t>
              </w:r>
            </w:hyperlink>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251647b00a2402eaa1002fa779d39f1_34">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51647b00a2402eaa1002fa779d39f1_34">
              <w:r>
                <w:rPr>
                  <w:rStyle w:val="InternetLink"/>
                  <w:rFonts w:ascii="Times New Roman;serif" w:hAnsi="Times New Roman;serif"/>
                  <w:b w:val="false"/>
                  <w:strike w:val="false"/>
                  <w:dstrike w:val="false"/>
                  <w:color w:val="000000"/>
                  <w:sz w:val="20"/>
                  <w:u w:val="none"/>
                  <w:effect w:val="none"/>
                </w:rPr>
                <w:t>11</w:t>
              </w:r>
            </w:hyperlink>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251647b00a2402eaa1002fa779d39f1_106">
              <w:r>
                <w:rPr>
                  <w:rStyle w:val="InternetLink"/>
                  <w:rFonts w:ascii="Times New Roman;serif" w:hAnsi="Times New Roman;serif"/>
                  <w:b w:val="false"/>
                  <w:strike w:val="false"/>
                  <w:dstrike w:val="false"/>
                  <w:color w:val="000000"/>
                  <w:sz w:val="20"/>
                  <w:u w:val="none"/>
                  <w:effect w:val="none"/>
                </w:rPr>
                <w:t>Management</w:t>
              </w:r>
            </w:hyperlink>
            <w:hyperlink w:anchor="ie251647b00a2402eaa1002fa779d39f1_106">
              <w:r>
                <w:rPr>
                  <w:rStyle w:val="InternetLink"/>
                  <w:strike w:val="false"/>
                  <w:dstrike w:val="false"/>
                  <w:color w:val="0000FF"/>
                  <w:u w:val="none"/>
                  <w:effect w:val="none"/>
                </w:rPr>
                <w:t>’</w:t>
              </w:r>
            </w:hyperlink>
            <w:hyperlink w:anchor="ie251647b00a2402eaa1002fa779d39f1_106">
              <w:r>
                <w:rPr>
                  <w:rStyle w:val="InternetLink"/>
                  <w:rFonts w:ascii="Times New Roman;serif" w:hAnsi="Times New Roman;serif"/>
                  <w:b w:val="false"/>
                  <w:strike w:val="false"/>
                  <w:dstrike w:val="false"/>
                  <w:color w:val="000000"/>
                  <w:sz w:val="20"/>
                  <w:u w:val="none"/>
                  <w:effect w:val="none"/>
                </w:rPr>
                <w:t>s Discussion and Analysis of Financial Condition and Results of Operations</w:t>
              </w:r>
            </w:hyperlink>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51647b00a2402eaa1002fa779d39f1_106">
              <w:r>
                <w:rPr>
                  <w:rStyle w:val="InternetLink"/>
                  <w:rFonts w:ascii="Times New Roman;serif" w:hAnsi="Times New Roman;serif"/>
                  <w:b w:val="false"/>
                  <w:strike w:val="false"/>
                  <w:dstrike w:val="false"/>
                  <w:color w:val="000000"/>
                  <w:sz w:val="20"/>
                  <w:u w:val="none"/>
                  <w:effect w:val="none"/>
                </w:rPr>
                <w:t>33</w:t>
              </w:r>
            </w:hyperlink>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251647b00a2402eaa1002fa779d39f1_181">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51647b00a2402eaa1002fa779d39f1_181">
              <w:r>
                <w:rPr>
                  <w:rStyle w:val="InternetLink"/>
                  <w:rFonts w:ascii="Times New Roman;serif" w:hAnsi="Times New Roman;serif"/>
                  <w:b w:val="false"/>
                  <w:strike w:val="false"/>
                  <w:dstrike w:val="false"/>
                  <w:color w:val="000000"/>
                  <w:sz w:val="20"/>
                  <w:u w:val="none"/>
                  <w:effect w:val="none"/>
                </w:rPr>
                <w:t>46</w:t>
              </w:r>
            </w:hyperlink>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251647b00a2402eaa1002fa779d39f1_184">
              <w:r>
                <w:rPr>
                  <w:rStyle w:val="InternetLink"/>
                  <w:rFonts w:ascii="Times New Roman;serif" w:hAnsi="Times New Roman;serif"/>
                  <w:b w:val="false"/>
                  <w:strike w:val="false"/>
                  <w:dstrike w:val="false"/>
                  <w:color w:val="000000"/>
                  <w:sz w:val="20"/>
                  <w:u w:val="none"/>
                  <w:effect w:val="none"/>
                </w:rPr>
                <w:t>Controls and Procedures</w:t>
              </w:r>
            </w:hyperlink>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51647b00a2402eaa1002fa779d39f1_184">
              <w:r>
                <w:rPr>
                  <w:rStyle w:val="InternetLink"/>
                  <w:rFonts w:ascii="Times New Roman;serif" w:hAnsi="Times New Roman;serif"/>
                  <w:b w:val="false"/>
                  <w:strike w:val="false"/>
                  <w:dstrike w:val="false"/>
                  <w:color w:val="000000"/>
                  <w:sz w:val="20"/>
                  <w:u w:val="none"/>
                  <w:effect w:val="none"/>
                </w:rPr>
                <w:t>47</w:t>
              </w:r>
            </w:hyperlink>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e251647b00a2402eaa1002fa779d39f1_187">
              <w:r>
                <w:rPr>
                  <w:rStyle w:val="InternetLink"/>
                  <w:rFonts w:ascii="Times New Roman;serif" w:hAnsi="Times New Roman;serif"/>
                  <w:b/>
                  <w:strike w:val="false"/>
                  <w:dstrike w:val="false"/>
                  <w:color w:val="000000"/>
                  <w:sz w:val="20"/>
                  <w:u w:val="none"/>
                  <w:effect w:val="none"/>
                </w:rPr>
                <w:t>PART II. OTHER INFORMATION</w:t>
              </w:r>
            </w:hyperlink>
          </w:p>
        </w:tc>
      </w:tr>
      <w:tr>
        <w:trPr/>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51647b00a2402eaa1002fa779d39f1_190">
              <w:r>
                <w:rPr>
                  <w:rStyle w:val="InternetLink"/>
                  <w:rFonts w:ascii="Times New Roman;serif" w:hAnsi="Times New Roman;serif"/>
                  <w:b w:val="false"/>
                  <w:strike w:val="false"/>
                  <w:dstrike w:val="false"/>
                  <w:color w:val="000000"/>
                  <w:sz w:val="20"/>
                  <w:u w:val="none"/>
                  <w:effect w:val="none"/>
                </w:rPr>
                <w:t>Legal Proceedings</w:t>
              </w:r>
            </w:hyperlink>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51647b00a2402eaa1002fa779d39f1_190">
              <w:r>
                <w:rPr>
                  <w:rStyle w:val="InternetLink"/>
                  <w:rFonts w:ascii="Times New Roman;serif" w:hAnsi="Times New Roman;serif"/>
                  <w:b w:val="false"/>
                  <w:strike w:val="false"/>
                  <w:dstrike w:val="false"/>
                  <w:color w:val="000000"/>
                  <w:sz w:val="20"/>
                  <w:u w:val="none"/>
                  <w:effect w:val="none"/>
                </w:rPr>
                <w:t>48</w:t>
              </w:r>
            </w:hyperlink>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51647b00a2402eaa1002fa779d39f1_193">
              <w:r>
                <w:rPr>
                  <w:rStyle w:val="InternetLink"/>
                  <w:rFonts w:ascii="Times New Roman;serif" w:hAnsi="Times New Roman;serif"/>
                  <w:b w:val="false"/>
                  <w:strike w:val="false"/>
                  <w:dstrike w:val="false"/>
                  <w:color w:val="000000"/>
                  <w:sz w:val="20"/>
                  <w:u w:val="none"/>
                  <w:effect w:val="none"/>
                </w:rPr>
                <w:t>Risk Factors</w:t>
              </w:r>
            </w:hyperlink>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51647b00a2402eaa1002fa779d39f1_193">
              <w:r>
                <w:rPr>
                  <w:rStyle w:val="InternetLink"/>
                  <w:rFonts w:ascii="Times New Roman;serif" w:hAnsi="Times New Roman;serif"/>
                  <w:b w:val="false"/>
                  <w:strike w:val="false"/>
                  <w:dstrike w:val="false"/>
                  <w:color w:val="000000"/>
                  <w:sz w:val="20"/>
                  <w:u w:val="none"/>
                  <w:effect w:val="none"/>
                </w:rPr>
                <w:t>48</w:t>
              </w:r>
            </w:hyperlink>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51647b00a2402eaa1002fa779d39f1_196">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51647b00a2402eaa1002fa779d39f1_196">
              <w:r>
                <w:rPr>
                  <w:rStyle w:val="InternetLink"/>
                  <w:rFonts w:ascii="Times New Roman;serif" w:hAnsi="Times New Roman;serif"/>
                  <w:b w:val="false"/>
                  <w:strike w:val="false"/>
                  <w:dstrike w:val="false"/>
                  <w:color w:val="000000"/>
                  <w:sz w:val="20"/>
                  <w:u w:val="none"/>
                  <w:effect w:val="none"/>
                </w:rPr>
                <w:t>48</w:t>
              </w:r>
            </w:hyperlink>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51647b00a2402eaa1002fa779d39f1_199">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51647b00a2402eaa1002fa779d39f1_199">
              <w:r>
                <w:rPr>
                  <w:rStyle w:val="InternetLink"/>
                  <w:rFonts w:ascii="Times New Roman;serif" w:hAnsi="Times New Roman;serif"/>
                  <w:b w:val="false"/>
                  <w:strike w:val="false"/>
                  <w:dstrike w:val="false"/>
                  <w:color w:val="000000"/>
                  <w:sz w:val="20"/>
                  <w:u w:val="none"/>
                  <w:effect w:val="none"/>
                </w:rPr>
                <w:t>48</w:t>
              </w:r>
            </w:hyperlink>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51647b00a2402eaa1002fa779d39f1_202">
              <w:r>
                <w:rPr>
                  <w:rStyle w:val="InternetLink"/>
                  <w:rFonts w:ascii="Times New Roman;serif" w:hAnsi="Times New Roman;serif"/>
                  <w:b w:val="false"/>
                  <w:strike w:val="false"/>
                  <w:dstrike w:val="false"/>
                  <w:color w:val="000000"/>
                  <w:sz w:val="20"/>
                  <w:u w:val="none"/>
                  <w:effect w:val="none"/>
                </w:rPr>
                <w:t>Mine Safety Disclosures</w:t>
              </w:r>
            </w:hyperlink>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51647b00a2402eaa1002fa779d39f1_202">
              <w:r>
                <w:rPr>
                  <w:rStyle w:val="InternetLink"/>
                  <w:rFonts w:ascii="Times New Roman;serif" w:hAnsi="Times New Roman;serif"/>
                  <w:b w:val="false"/>
                  <w:strike w:val="false"/>
                  <w:dstrike w:val="false"/>
                  <w:color w:val="000000"/>
                  <w:sz w:val="20"/>
                  <w:u w:val="none"/>
                  <w:effect w:val="none"/>
                </w:rPr>
                <w:t>48</w:t>
              </w:r>
            </w:hyperlink>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51647b00a2402eaa1002fa779d39f1_205">
              <w:r>
                <w:rPr>
                  <w:rStyle w:val="InternetLink"/>
                  <w:rFonts w:ascii="Times New Roman;serif" w:hAnsi="Times New Roman;serif"/>
                  <w:b w:val="false"/>
                  <w:strike w:val="false"/>
                  <w:dstrike w:val="false"/>
                  <w:color w:val="000000"/>
                  <w:sz w:val="20"/>
                  <w:u w:val="none"/>
                  <w:effect w:val="none"/>
                </w:rPr>
                <w:t>Other Information</w:t>
              </w:r>
            </w:hyperlink>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51647b00a2402eaa1002fa779d39f1_205">
              <w:r>
                <w:rPr>
                  <w:rStyle w:val="InternetLink"/>
                  <w:rFonts w:ascii="Times New Roman;serif" w:hAnsi="Times New Roman;serif"/>
                  <w:b w:val="false"/>
                  <w:strike w:val="false"/>
                  <w:dstrike w:val="false"/>
                  <w:color w:val="000000"/>
                  <w:sz w:val="20"/>
                  <w:u w:val="none"/>
                  <w:effect w:val="none"/>
                </w:rPr>
                <w:t>49</w:t>
              </w:r>
            </w:hyperlink>
          </w:p>
        </w:tc>
      </w:tr>
      <w:tr>
        <w:trPr/>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1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251647b00a2402eaa1002fa779d39f1_208">
              <w:r>
                <w:rPr>
                  <w:rStyle w:val="InternetLink"/>
                  <w:rFonts w:ascii="Times New Roman;serif" w:hAnsi="Times New Roman;serif"/>
                  <w:b w:val="false"/>
                  <w:strike w:val="false"/>
                  <w:dstrike w:val="false"/>
                  <w:color w:val="000000"/>
                  <w:sz w:val="20"/>
                  <w:u w:val="none"/>
                  <w:effect w:val="none"/>
                </w:rPr>
                <w:t>Exhibits</w:t>
              </w:r>
            </w:hyperlink>
          </w:p>
        </w:tc>
        <w:tc>
          <w:tcPr>
            <w:tcW w:w="10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251647b00a2402eaa1002fa779d39f1_208">
              <w:r>
                <w:rPr>
                  <w:rStyle w:val="InternetLink"/>
                  <w:rFonts w:ascii="Times New Roman;serif" w:hAnsi="Times New Roman;serif"/>
                  <w:b w:val="false"/>
                  <w:strike w:val="false"/>
                  <w:dstrike w:val="false"/>
                  <w:color w:val="000000"/>
                  <w:sz w:val="20"/>
                  <w:u w:val="none"/>
                  <w:effect w:val="none"/>
                </w:rPr>
                <w:t>50</w:t>
              </w:r>
            </w:hyperlink>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16610"/>
                <wp:effectExtent l="0" t="0" r="0" b="0"/>
                <wp:wrapNone/>
                <wp:docPr id="5" name="Frame5"/>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pPr>
      <w:r>
        <w:rPr>
          <w:rFonts w:ascii="Times New Roman;serif" w:hAnsi="Times New Roman;serif"/>
          <w:b/>
          <w:color w:val="000000"/>
          <w:sz w:val="20"/>
        </w:rPr>
        <w:t>Item 1.    </w:t>
      </w:r>
      <w:r>
        <w:rPr>
          <w:rFonts w:ascii="Times New Roman;serif" w:hAnsi="Times New Roman;serif"/>
          <w:b/>
          <w:i/>
          <w:color w:val="000000"/>
          <w:sz w:val="20"/>
        </w:rPr>
        <w:t>Financial Statements (Unaudited)</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80"/>
        <w:gridCol w:w="2266"/>
        <w:gridCol w:w="2273"/>
        <w:gridCol w:w="212"/>
        <w:gridCol w:w="750"/>
        <w:gridCol w:w="118"/>
        <w:gridCol w:w="109"/>
        <w:gridCol w:w="109"/>
        <w:gridCol w:w="109"/>
        <w:gridCol w:w="258"/>
        <w:gridCol w:w="913"/>
        <w:gridCol w:w="208"/>
      </w:tblGrid>
      <w:tr>
        <w:trPr/>
        <w:tc>
          <w:tcPr>
            <w:tcW w:w="2880"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7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less allowance of $5.0 million and $4.9 million, respectively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assets of discontinued operations (Note 3)</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5,935.6 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trademarks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method investments (Note 9)</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88" w:before="60" w:after="60"/>
              <w:jc w:val="both"/>
              <w:rPr>
                <w:rFonts w:ascii="Times New Roman;serif" w:hAnsi="Times New Roman;serif"/>
                <w:b w:val="false"/>
                <w:color w:val="000000"/>
                <w:sz w:val="18"/>
              </w:rPr>
            </w:pPr>
            <w:r>
              <w:rPr>
                <w:rFonts w:ascii="Times New Roman;serif" w:hAnsi="Times New Roman;serif"/>
                <w:b w:val="false"/>
                <w:color w:val="000000"/>
                <w:sz w:val="18"/>
              </w:rPr>
              <w:t>Deferred tax assets, long-term</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7,286.0 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compensation and benefits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current portion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Asset-based credit facilities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short-term</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liabilities of discontinued operations (Note 3)</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4,367.5 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long-term</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12)</w:t>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3.0 million shares authorized, none issued and outstanding at both June 30, 2026 and December 31, 2025</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360.0 million shares authorized, and 186.2 million shares issued at both June 30, 2026 and December 31, 2025</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 (accumulated deficit)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Common stock held in treasury, at cost, 7.1 million and 2.3 million shares as of June 30, 2026 and December 31, 2025, respectively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2,068.9 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7,286.0 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16610"/>
                <wp:effectExtent l="0" t="0" r="0" b="0"/>
                <wp:wrapNone/>
                <wp:docPr id="6" name="Frame6"/>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511" w:type="dxa"/>
        <w:jc w:val="center"/>
        <w:tblInd w:w="0" w:type="dxa"/>
        <w:tblLayout w:type="fixed"/>
        <w:tblCellMar>
          <w:top w:w="28" w:type="dxa"/>
          <w:left w:w="28" w:type="dxa"/>
          <w:bottom w:w="28" w:type="dxa"/>
          <w:right w:w="28" w:type="dxa"/>
        </w:tblCellMar>
      </w:tblPr>
      <w:tblGrid>
        <w:gridCol w:w="1643"/>
        <w:gridCol w:w="1450"/>
        <w:gridCol w:w="1467"/>
        <w:gridCol w:w="216"/>
        <w:gridCol w:w="614"/>
        <w:gridCol w:w="120"/>
        <w:gridCol w:w="120"/>
        <w:gridCol w:w="120"/>
        <w:gridCol w:w="120"/>
        <w:gridCol w:w="216"/>
        <w:gridCol w:w="614"/>
        <w:gridCol w:w="120"/>
        <w:gridCol w:w="109"/>
        <w:gridCol w:w="109"/>
        <w:gridCol w:w="109"/>
        <w:gridCol w:w="196"/>
        <w:gridCol w:w="691"/>
        <w:gridCol w:w="109"/>
        <w:gridCol w:w="109"/>
        <w:gridCol w:w="109"/>
        <w:gridCol w:w="109"/>
        <w:gridCol w:w="196"/>
        <w:gridCol w:w="691"/>
        <w:gridCol w:w="154"/>
      </w:tblGrid>
      <w:tr>
        <w:trPr/>
        <w:tc>
          <w:tcPr>
            <w:tcW w:w="1643"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expenses: </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equity method investments</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common share:</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common share:</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16610"/>
                <wp:effectExtent l="0" t="0" r="0" b="0"/>
                <wp:wrapNone/>
                <wp:docPr id="7" name="Frame7"/>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96"/>
        <w:gridCol w:w="1759"/>
        <w:gridCol w:w="1764"/>
        <w:gridCol w:w="235"/>
        <w:gridCol w:w="560"/>
        <w:gridCol w:w="131"/>
        <w:gridCol w:w="131"/>
        <w:gridCol w:w="131"/>
        <w:gridCol w:w="131"/>
        <w:gridCol w:w="235"/>
        <w:gridCol w:w="560"/>
        <w:gridCol w:w="131"/>
        <w:gridCol w:w="109"/>
        <w:gridCol w:w="109"/>
        <w:gridCol w:w="109"/>
        <w:gridCol w:w="205"/>
        <w:gridCol w:w="585"/>
        <w:gridCol w:w="114"/>
        <w:gridCol w:w="114"/>
        <w:gridCol w:w="114"/>
        <w:gridCol w:w="114"/>
        <w:gridCol w:w="205"/>
        <w:gridCol w:w="491"/>
        <w:gridCol w:w="172"/>
      </w:tblGrid>
      <w:tr>
        <w:trPr/>
        <w:tc>
          <w:tcPr>
            <w:tcW w:w="1996"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derivative instruments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translation adjustments recognized from the sales of business lines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before income tax</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 on derivative instruments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16610"/>
                <wp:effectExtent l="0" t="0" r="0" b="0"/>
                <wp:wrapNone/>
                <wp:docPr id="8" name="Frame8"/>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10205" w:type="dxa"/>
        <w:jc w:val="center"/>
        <w:tblInd w:w="0" w:type="dxa"/>
        <w:tblLayout w:type="fixed"/>
        <w:tblCellMar>
          <w:top w:w="28" w:type="dxa"/>
          <w:left w:w="28" w:type="dxa"/>
          <w:bottom w:w="28" w:type="dxa"/>
          <w:right w:w="28" w:type="dxa"/>
        </w:tblCellMar>
      </w:tblPr>
      <w:tblGrid>
        <w:gridCol w:w="2753"/>
        <w:gridCol w:w="2166"/>
        <w:gridCol w:w="2176"/>
        <w:gridCol w:w="289"/>
        <w:gridCol w:w="793"/>
        <w:gridCol w:w="174"/>
        <w:gridCol w:w="174"/>
        <w:gridCol w:w="174"/>
        <w:gridCol w:w="174"/>
        <w:gridCol w:w="289"/>
        <w:gridCol w:w="793"/>
        <w:gridCol w:w="250"/>
      </w:tblGrid>
      <w:tr>
        <w:trPr/>
        <w:tc>
          <w:tcPr>
            <w:tcW w:w="2753"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Six Months Ended June 30,</w:t>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flows from operating activities:</w:t>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 (loss) from continuing operations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108.9 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Adjustments to reconcile net income (loss) from continuing operations to net cash provided by (used in) operating activities:</w:t>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Depreciation and amortization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Loss from equity method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Amortization of debt discount and issuance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Impairment losses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Gain on lease termination incentive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(12.0)</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taxes,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Loss from debt extinguishment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Loss (gain) on asset disposals,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Unrealized net losses (gains) on hedging instruments and foreign currency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Gain on investment from golf-related ventures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 in assets and liabilities</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(194.9)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(181.2)</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Inventories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101.3 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(20.6)</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payable and accrued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revenue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0.4 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Accrued employee compensation and benefits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Lease assets and liabilities,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taxes receivable/payable,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operating activities - continuing operations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(18.3)</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operating activities - discontinued operations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operating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80.5 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41.7 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flows from investing activities:</w:t>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Capital expenditures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Investment in golf-related ventures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(0.6)</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 of intangible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(0.7)</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Distributions from equity method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sale of business line, net of cash retained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820.1 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286.0 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investing activities - continuing operations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806.7 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268.6 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investing activities - discontinued operations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(128.3)</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investing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806.7 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140.3 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flows from financing activities:</w:t>
            </w:r>
          </w:p>
        </w:tc>
        <w:tc>
          <w:tcPr>
            <w:tcW w:w="12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Repayments of 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(1,426.3)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(repayments) on credit facilities,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19.9 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Debt issuance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(0.4)</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Repayments of financing leases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 of treasury stock</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financing activities - continuing operations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(1,511.5)</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financing activities - discontinued operations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financing activities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(1,511.5)</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43.8 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Effect of exchange rate changes on cash, cash equivalents and restricted cash</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(0.9)</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increase (decrease) in cash, cash equivalents and restricted cash</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(625.2)</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233.5 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cash equivalents and restricted cash at beginning of period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903.5 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450.3 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cash equivalents and restricted cash at end of period</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278.3 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683.8 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Less: restricted cash of continuing and discontinued operations at end of period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(0.3)</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and cash equivalents of continuing operations at end of period</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278.1 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683.5 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Supplemental disclosures </w:t>
            </w:r>
            <w:r>
              <w:rPr>
                <w:rFonts w:ascii="Times New Roman;serif" w:hAnsi="Times New Roman;serif"/>
                <w:b w:val="false"/>
                <w:color w:val="000000"/>
                <w:sz w:val="10"/>
              </w:rPr>
              <w:t>(1)</w:t>
            </w:r>
            <w:r>
              <w:rPr>
                <w:rFonts w:ascii="Times New Roman;serif" w:hAnsi="Times New Roman;serif"/>
                <w:b w:val="false"/>
                <w:color w:val="000000"/>
                <w:sz w:val="15"/>
              </w:rPr>
              <w:t>:</w:t>
            </w:r>
          </w:p>
        </w:tc>
        <w:tc>
          <w:tcPr>
            <w:tcW w:w="12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paid for income taxes, net</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paid for interest and fees</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91.9 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Non-cash investing and financing activities:</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Issuance of treasury stock and common stock for compensatory stock awards released from restriction</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Accrued capital expenditures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32.6 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Financed additions of capital expenditures</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Distribution receivable from equity method investment</w:t>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0.9 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5"/>
              </w:rPr>
              <w:t>For 2026, Supplemental disclosures and Non</w:t>
              <w:noBreakHyphen/>
              <w:t>cash investing and financing activities relate solely to continuing operations. For 2025, Supplemental disclosures and Non</w:t>
              <w:noBreakHyphen/>
              <w:t>cash investing and financing activities include amounts related to both continuing and discontinued operations. For 2025, $5.8 million of cash paid for income taxes, net, $64.7 million of cash paid for interest and fees, $31.9 million of accrued capital expenditures, and $2.4 million of financed additions of capital expenditures were attributable to discontinued operations.</w:t>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3110" w:type="dxa"/>
            <w:gridSpan w:val="9"/>
            <w:tcBorders/>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3110" w:type="dxa"/>
            <w:gridSpan w:val="9"/>
            <w:tcBorders/>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3110" w:type="dxa"/>
            <w:gridSpan w:val="9"/>
            <w:tcBorders/>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3110"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16610"/>
                <wp:effectExtent l="0" t="0" r="0" b="0"/>
                <wp:wrapNone/>
                <wp:docPr id="9" name="Frame9"/>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93"/>
        <w:gridCol w:w="273"/>
        <w:gridCol w:w="274"/>
        <w:gridCol w:w="285"/>
        <w:gridCol w:w="286"/>
        <w:gridCol w:w="171"/>
        <w:gridCol w:w="109"/>
        <w:gridCol w:w="109"/>
        <w:gridCol w:w="109"/>
        <w:gridCol w:w="196"/>
        <w:gridCol w:w="391"/>
        <w:gridCol w:w="109"/>
        <w:gridCol w:w="109"/>
        <w:gridCol w:w="109"/>
        <w:gridCol w:w="109"/>
        <w:gridCol w:w="196"/>
        <w:gridCol w:w="706"/>
        <w:gridCol w:w="109"/>
        <w:gridCol w:w="109"/>
        <w:gridCol w:w="109"/>
        <w:gridCol w:w="109"/>
        <w:gridCol w:w="196"/>
        <w:gridCol w:w="572"/>
        <w:gridCol w:w="109"/>
        <w:gridCol w:w="109"/>
        <w:gridCol w:w="109"/>
        <w:gridCol w:w="109"/>
        <w:gridCol w:w="254"/>
        <w:gridCol w:w="624"/>
        <w:gridCol w:w="143"/>
        <w:gridCol w:w="109"/>
        <w:gridCol w:w="109"/>
        <w:gridCol w:w="109"/>
        <w:gridCol w:w="210"/>
        <w:gridCol w:w="196"/>
        <w:gridCol w:w="171"/>
        <w:gridCol w:w="109"/>
        <w:gridCol w:w="109"/>
        <w:gridCol w:w="109"/>
        <w:gridCol w:w="196"/>
        <w:gridCol w:w="481"/>
        <w:gridCol w:w="109"/>
        <w:gridCol w:w="109"/>
        <w:gridCol w:w="109"/>
        <w:gridCol w:w="109"/>
        <w:gridCol w:w="196"/>
        <w:gridCol w:w="708"/>
        <w:gridCol w:w="162"/>
      </w:tblGrid>
      <w:tr>
        <w:trPr/>
        <w:tc>
          <w:tcPr>
            <w:tcW w:w="5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Shareholders’ Equity</w:t>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186.2</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3,032.8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(76.0)</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2,407.7</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Compensatory awards released from restriction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adjustment from foreign currency translation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 instruments, net of tax</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186.2</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3,022.1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(498.1)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(62.9)</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2,426.6</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Compensatory awards released from restriction</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adjustment from foreign currency translation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 instruments, net of tax</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from dissolution of foreign subsidiary</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5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186.2</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3,027.3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(477.8)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(28.7)</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2,488.1</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14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70" w:type="dxa"/>
        <w:jc w:val="left"/>
        <w:tblInd w:w="0" w:type="dxa"/>
        <w:tblLayout w:type="fixed"/>
        <w:tblCellMar>
          <w:top w:w="28" w:type="dxa"/>
          <w:left w:w="28" w:type="dxa"/>
          <w:bottom w:w="28" w:type="dxa"/>
          <w:right w:w="28" w:type="dxa"/>
        </w:tblCellMar>
      </w:tblPr>
      <w:tblGrid>
        <w:gridCol w:w="762"/>
        <w:gridCol w:w="181"/>
        <w:gridCol w:w="183"/>
        <w:gridCol w:w="285"/>
        <w:gridCol w:w="286"/>
        <w:gridCol w:w="171"/>
        <w:gridCol w:w="109"/>
        <w:gridCol w:w="109"/>
        <w:gridCol w:w="109"/>
        <w:gridCol w:w="196"/>
        <w:gridCol w:w="391"/>
        <w:gridCol w:w="109"/>
        <w:gridCol w:w="109"/>
        <w:gridCol w:w="109"/>
        <w:gridCol w:w="109"/>
        <w:gridCol w:w="196"/>
        <w:gridCol w:w="706"/>
        <w:gridCol w:w="109"/>
        <w:gridCol w:w="109"/>
        <w:gridCol w:w="109"/>
        <w:gridCol w:w="109"/>
        <w:gridCol w:w="196"/>
        <w:gridCol w:w="571"/>
        <w:gridCol w:w="109"/>
        <w:gridCol w:w="109"/>
        <w:gridCol w:w="109"/>
        <w:gridCol w:w="109"/>
        <w:gridCol w:w="254"/>
        <w:gridCol w:w="624"/>
        <w:gridCol w:w="143"/>
        <w:gridCol w:w="109"/>
        <w:gridCol w:w="109"/>
        <w:gridCol w:w="109"/>
        <w:gridCol w:w="210"/>
        <w:gridCol w:w="196"/>
        <w:gridCol w:w="171"/>
        <w:gridCol w:w="109"/>
        <w:gridCol w:w="109"/>
        <w:gridCol w:w="109"/>
        <w:gridCol w:w="196"/>
        <w:gridCol w:w="571"/>
        <w:gridCol w:w="109"/>
        <w:gridCol w:w="109"/>
        <w:gridCol w:w="109"/>
        <w:gridCol w:w="109"/>
        <w:gridCol w:w="196"/>
        <w:gridCol w:w="706"/>
        <w:gridCol w:w="154"/>
      </w:tblGrid>
      <w:tr>
        <w:trPr/>
        <w:tc>
          <w:tcPr>
            <w:tcW w:w="7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Shareholders’ Equity</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186.2</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3,037.5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(909.5)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(27.6)</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2,068.9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Compensatory awards released from restriction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to equity method investments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adjustment from foreign currency translation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 instruments, net of tax</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Cumulative translation adjustments recognized from the sale of Topgolf</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186.2</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3,033.0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(816.4)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(33.7)</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2,123.9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Compensatory awards released from restriction</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to equity method investments</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adjustment from foreign currency translation</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 instruments, net of tax</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5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186.2</w:t>
            </w:r>
            <w:r>
              <w:rPr>
                <w:color w:val="000000"/>
              </w:rPr>
              <w:t>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3,036.8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(741.2)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(34.2)</w:t>
            </w:r>
          </w:p>
        </w:tc>
        <w:tc>
          <w:tcPr>
            <w:tcW w:w="1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(7.1)</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(100.9)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2,162.4</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16610"/>
                <wp:effectExtent l="0" t="0" r="0" b="0"/>
                <wp:wrapNone/>
                <wp:docPr id="10" name="Frame10"/>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CALLAWAY GOLF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both"/>
        <w:rPr>
          <w:rFonts w:ascii="Times New Roman;serif" w:hAnsi="Times New Roman;serif"/>
          <w:b/>
          <w:color w:val="000000"/>
          <w:sz w:val="20"/>
        </w:rPr>
      </w:pPr>
      <w:r>
        <w:rPr>
          <w:rFonts w:ascii="Times New Roman;serif" w:hAnsi="Times New Roman;serif"/>
          <w:b/>
          <w:color w:val="000000"/>
          <w:sz w:val="20"/>
        </w:rPr>
        <w:t xml:space="preserve">Note 1. The Company and Basis of Presentation </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The Company</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Callaway Golf Company (together with its wholly-owned subsidiaries, referred to as “we,” “our,” “us,” “the Company,” or “Callaway” unless otherwise specified), a Delaware corporation, is a premium golf equipment, gear and apparel company that designs, manufactures and sells high-performance golf clubs, golf balls, apparel, bags, and other accessories through our family of brand names, which include Callaway Golf, Odyssey, TravisMathew, and OGIO.</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products and brands are reported under two operating segments: Golf Equipment, which includes the operations of our golf clubs and golf balls business under the Callaway Golf and Odyssey brand names; and Apparel, Gear and Other (formerly, “Active Lifestyle”), which includes the operations of our soft goods business marketed under the Callaway, TravisMathew, and OGIO brand names.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have prepared the accompanying </w:t>
      </w:r>
      <w:r>
        <w:rPr>
          <w:rFonts w:ascii="Times New Roman;serif" w:hAnsi="Times New Roman;serif"/>
          <w:b w:val="false"/>
          <w:color w:val="000000"/>
          <w:sz w:val="20"/>
          <w:shd w:fill="FFFFFF" w:val="clear"/>
        </w:rPr>
        <w:t xml:space="preserve">condensed </w:t>
      </w:r>
      <w:r>
        <w:rPr>
          <w:rFonts w:ascii="Times New Roman;serif" w:hAnsi="Times New Roman;serif"/>
          <w:b w:val="false"/>
          <w:color w:val="000000"/>
          <w:sz w:val="20"/>
        </w:rPr>
        <w:t xml:space="preserve">consolidated financial statements pursuant to the rules and regulations of the Securities and Exchange Commission (the “SEC”) and accounting principles generally accepted in the United States of America (“GAAP”). We have condensed or omitted certain information and disclosures that are normally included in our annual consolidated financial statements which are prepared in accordance with GAAP. In the opinion of management, these condensed consolidated financial statements include all normal and recurring adjustments necessary for the fair presentation of the financial position, results of operations and cash flows for the periods and dates presented. These unaudited condensed consolidated financial statements should be read in conjunction with the consolidated financial statements and notes thereto included in our Annual Report on Form 10-K for the year ended December 31, 2025, which was filed with the SEC on February 27, 2026. Interim operating results are not indicative of operating results that may be expected for the year ending December 31, 2026, or any other future periods.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translate the financial statements of our foreign subsidiaries using end-of-period exchange rates for assets and liabilities and average exchange rates during each reporting period for results of operations. All intercompany balances and transactions have been eliminated during consolidation.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Unless otherwise specified, disclosures in these condensed consolidated financial statements reflect continuing operations only. Prior period financial information related to discontinued operations has been reclassified and separately presented in the condensed consolidated financial statements and accompanying notes to conform to the current period presentation. See Note 3 for further information regarding our discontinued operations.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Fiscal Year End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annual financial results are reported on a calendar year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Our significant accounting policies are described in Note 2 to our audited</w:t>
      </w:r>
      <w:r>
        <w:rPr>
          <w:color w:val="000000"/>
          <w:shd w:fill="FFFFFF" w:val="clear"/>
        </w:rPr>
        <w:t xml:space="preserve"> </w:t>
      </w:r>
      <w:r>
        <w:rPr>
          <w:rFonts w:ascii="Times New Roman;serif" w:hAnsi="Times New Roman;serif"/>
          <w:b w:val="false"/>
          <w:color w:val="000000"/>
          <w:sz w:val="20"/>
        </w:rPr>
        <w:t>consolidated financial statements for the year ended December 31, 2025, which are included in our Annual Report on Form 10-K which was filed with the SEC on February 27, 2026.</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preparation of financial statements in conformity with GAAP requires management to make estimates and judgments that affect the reported amounts of assets, liabilities, revenue, expenses and related disclosures. We base our estimates on historical experience and on various other assumptions that are believed to be reasonable under the circumstances at that time. We evaluate our estimates on an ongoing basis to ensure that these estimates appropriately reflect changes in our business or as new information becomes available. Actual results may differ from our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16610"/>
                <wp:effectExtent l="0" t="0" r="0" b="0"/>
                <wp:wrapNone/>
                <wp:docPr id="11" name="Frame11"/>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Recently Issued Accounting Standards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November 2024, the FASB issued ASU No. 2024-03, “Income Statement—Reporting Comprehensive Income—Expense Disaggregation Disclosures (Subtopic 220-40): Disaggregation of Income Statement Expenses” (“ASU 2024-03”), which requires disclosure, on an annual and interim basis, of specific information about cost and expense related items within the notes to our condensed consolidated financial statements. ASU 2024-03 is effective for fiscal years beginning after December 15, 2026, and interim periods within annual reporting periods beginning after December 15, 2027, on either a prospective or retrospective basis with early adoption permitted. We are in the process of evaluating the impact that ASU 2024-03 will have on our condensed consolidated financial statements and related disclosures.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September 2025, the FASB issued ASU No. 2025-06, “Intangibles — Goodwill and Other — Internal-Use Software (Subtopic 350-40): Targeted Improvements to the Accounting for Internal-Use Software” (“ASU 2025-06”), which clarifies the difference between expensed costs and capitalized costs by removing all references to software development project stages so that the guidance is neutral to different software development methods, including methods that entities may use to develop software in the future. ASU 2025-06 is effective for fiscal years beginning after December 15, 2027, and interim periods within annual reporting periods beginning after December 15, 2027, with early adoption permitted. We are evaluating the impact of ASU 2025-06 and do not expect adoption of the standard to have a material impact on our consolidated financial statements and related disclosures.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In May 2026, the FASB issued ASU No. 2026-02, “Environmental Credits and Environmental Credit Obligations (Topic 818)” (“ASU 2026-02”), which provides specific authoritative guidance for environmental credits and environmental credit obligations. ASU 2026-02 is effective for fiscal years beginning after December 15, 2027, and interim periods within annual reporting periods beginning after December 15, 2027, with early adoption permitted. We elected to early adopt this ASU effective for our quarter ended June 30, 2026. </w:t>
      </w:r>
      <w:r>
        <w:rPr>
          <w:rFonts w:ascii="Times New Roman;serif" w:hAnsi="Times New Roman;serif"/>
          <w:b w:val="false"/>
          <w:color w:val="000000"/>
          <w:sz w:val="20"/>
          <w:shd w:fill="FFFFFF" w:val="clear"/>
        </w:rPr>
        <w:t>The adoption of this ASU did not have a material impact on our consolidated financial statements or related disclosures for the period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3. Discontinued Operations</w:t>
      </w:r>
    </w:p>
    <w:p>
      <w:pPr>
        <w:pStyle w:val="TextBody"/>
        <w:bidi w:val="0"/>
        <w:spacing w:lineRule="auto" w:line="288" w:before="120" w:after="120"/>
        <w:ind w:left="0" w:right="0" w:firstLine="270"/>
        <w:jc w:val="both"/>
        <w:rPr>
          <w:rFonts w:ascii="Times New Roman;serif" w:hAnsi="Times New Roman;serif"/>
          <w:b/>
          <w:color w:val="000000"/>
          <w:sz w:val="20"/>
        </w:rPr>
      </w:pPr>
      <w:r>
        <w:rPr>
          <w:rFonts w:ascii="Times New Roman;serif" w:hAnsi="Times New Roman;serif"/>
          <w:b/>
          <w:color w:val="000000"/>
          <w:sz w:val="20"/>
        </w:rPr>
        <w:t>Divestiture of the Topgolf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Effective January 1, 2026, we completed the sale of a 60% equity interest in the Topgolf and Toptracer businesses (“Topgolf”) to private equity funds managed by Leonard Green &amp; Partners, L.P. based upon an equity value of approximately $1,100.0 million. In connection with the sale and related financing transactions, we received net proceeds of $820.1 million, net of working capital adjustments and cash retained. In the fourth quarter of 2025, we recorded an estimated loss on sale before income taxes of $143.1 million. During the first quarter of 2026, we recorded net working capital adjustments of $2.5 million, resulting in a total loss on sale of $140.6 million after these adjustments.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results of operations and cash flows of Topgolf are classified as discontinued operations for all periods presented and our retained ownership interest in Topgolf is accounted for under the equity method of accounting. During the second quarter of 2026, our ownership interest decreased from 40.0% to 39.3% following the sale by Topgolf of additional dilutive units, which decreased our non-controlling interest. In addition to our 39.3% equity interest, we have continuing involvement with Topgolf through ongoing commercial agreements (see Note 9) and a transition services agreement.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recognized $1.1 million and $2.3 million, respectively, associated with amounts billed under the transition services agreement with Topgolf, which were recognized in other income (expense), net on the condensed consolidated statement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Due to the amendment of our 2023 Term Loan B, which required a mandatory prepayment of $500.0 million in connection with the completion of the sale of Topgolf, we attributed $9.6 million and $19.1 million of related interest expense to discontinued operations for the three and six months ended June 30, 2025.</w:t>
      </w:r>
    </w:p>
    <w:p>
      <w:pPr>
        <w:pStyle w:val="TextBody"/>
        <w:bidi w:val="0"/>
        <w:spacing w:lineRule="auto" w:line="288" w:before="120" w:after="283"/>
        <w:ind w:left="0" w:right="0" w:firstLine="270"/>
        <w:jc w:val="both"/>
        <w:rPr>
          <w:rFonts w:ascii="Times New Roman;serif" w:hAnsi="Times New Roman;serif"/>
          <w:b/>
          <w:color w:val="000000"/>
          <w:sz w:val="20"/>
        </w:rPr>
      </w:pPr>
      <w:r>
        <w:rPr>
          <w:rFonts w:ascii="Times New Roman;serif" w:hAnsi="Times New Roman;serif"/>
          <w:b/>
          <w:color w:val="000000"/>
          <w:sz w:val="20"/>
        </w:rPr>
        <w:t>Divestiture of the Jack Wolfskin Business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On May 31, 2025, pursuant to the Sale &amp; Purchase Agreement dated April 10, 2025, we completed the sale of 100% of the equity interests in Callaway Germany Holdco GmbH, which operated the Jack Wolfskin business, for $290.0 million, net of cash retained, and recorded a $26.2 million loss upon completion of the sale. The operating results of Jack Wolfskin are presented as discontinued operations for all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16610"/>
                <wp:effectExtent l="0" t="0" r="0" b="0"/>
                <wp:wrapNone/>
                <wp:docPr id="12" name="Frame12"/>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120" w:after="283"/>
        <w:ind w:left="0" w:right="0" w:firstLine="450"/>
        <w:jc w:val="both"/>
        <w:rPr/>
      </w:pPr>
      <w:r>
        <w:rPr/>
      </w:r>
    </w:p>
    <w:p>
      <w:pPr>
        <w:pStyle w:val="TextBody"/>
        <w:bidi w:val="0"/>
        <w:spacing w:lineRule="auto" w:line="288" w:before="120" w:after="120"/>
        <w:ind w:left="0" w:right="0" w:firstLine="270"/>
        <w:jc w:val="both"/>
        <w:rPr>
          <w:rFonts w:ascii="Times New Roman;serif" w:hAnsi="Times New Roman;serif"/>
          <w:b/>
          <w:color w:val="000000"/>
          <w:sz w:val="20"/>
        </w:rPr>
      </w:pPr>
      <w:r>
        <w:rPr>
          <w:rFonts w:ascii="Times New Roman;serif" w:hAnsi="Times New Roman;serif"/>
          <w:b/>
          <w:color w:val="000000"/>
          <w:sz w:val="20"/>
        </w:rPr>
        <w:t>Results of Discontinued Operations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following is a summary of the results of discontinued operations on the </w:t>
      </w:r>
      <w:r>
        <w:rPr>
          <w:rFonts w:ascii="Times New Roman;serif" w:hAnsi="Times New Roman;serif"/>
          <w:b w:val="false"/>
          <w:color w:val="000000"/>
          <w:sz w:val="20"/>
          <w:shd w:fill="FFFFFF" w:val="clear"/>
        </w:rPr>
        <w:t>condensed</w:t>
      </w:r>
      <w:r>
        <w:rPr>
          <w:color w:val="000000"/>
        </w:rPr>
        <w:t xml:space="preserve"> </w:t>
      </w:r>
      <w:r>
        <w:rPr>
          <w:rFonts w:ascii="Times New Roman;serif" w:hAnsi="Times New Roman;serif"/>
          <w:b w:val="false"/>
          <w:color w:val="000000"/>
          <w:sz w:val="20"/>
        </w:rPr>
        <w:t xml:space="preserve">consolidated statement of operations for the periods presented below (in millions). Results of discontinued operations for the three and six months ended June 30, 2026 primarily reflect the settlement of certain indemnification obligations and costs directly related to our divestitures of Topgolf and Jack Wolfskin, in addition to the recognition of an income tax benefit in connection with the sale of Topgolf. </w:t>
      </w:r>
    </w:p>
    <w:tbl>
      <w:tblPr>
        <w:tblW w:w="10205" w:type="dxa"/>
        <w:jc w:val="left"/>
        <w:tblInd w:w="0" w:type="dxa"/>
        <w:tblLayout w:type="fixed"/>
        <w:tblCellMar>
          <w:top w:w="28" w:type="dxa"/>
          <w:left w:w="28" w:type="dxa"/>
          <w:bottom w:w="28" w:type="dxa"/>
          <w:right w:w="28" w:type="dxa"/>
        </w:tblCellMar>
      </w:tblPr>
      <w:tblGrid>
        <w:gridCol w:w="1221"/>
        <w:gridCol w:w="1074"/>
        <w:gridCol w:w="1078"/>
        <w:gridCol w:w="196"/>
        <w:gridCol w:w="432"/>
        <w:gridCol w:w="109"/>
        <w:gridCol w:w="109"/>
        <w:gridCol w:w="109"/>
        <w:gridCol w:w="109"/>
        <w:gridCol w:w="299"/>
        <w:gridCol w:w="599"/>
        <w:gridCol w:w="168"/>
        <w:gridCol w:w="109"/>
        <w:gridCol w:w="109"/>
        <w:gridCol w:w="109"/>
        <w:gridCol w:w="196"/>
        <w:gridCol w:w="429"/>
        <w:gridCol w:w="109"/>
        <w:gridCol w:w="109"/>
        <w:gridCol w:w="109"/>
        <w:gridCol w:w="109"/>
        <w:gridCol w:w="196"/>
        <w:gridCol w:w="466"/>
        <w:gridCol w:w="109"/>
        <w:gridCol w:w="109"/>
        <w:gridCol w:w="109"/>
        <w:gridCol w:w="109"/>
        <w:gridCol w:w="299"/>
        <w:gridCol w:w="599"/>
        <w:gridCol w:w="168"/>
        <w:gridCol w:w="109"/>
        <w:gridCol w:w="109"/>
        <w:gridCol w:w="109"/>
        <w:gridCol w:w="196"/>
        <w:gridCol w:w="466"/>
        <w:gridCol w:w="161"/>
      </w:tblGrid>
      <w:tr>
        <w:trPr/>
        <w:tc>
          <w:tcPr>
            <w:tcW w:w="122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3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Topgolf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Jack Wolfskin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Topgolf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Jack Wolfskin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income taxes</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51"/>
        <w:gridCol w:w="967"/>
        <w:gridCol w:w="973"/>
        <w:gridCol w:w="196"/>
        <w:gridCol w:w="430"/>
        <w:gridCol w:w="109"/>
        <w:gridCol w:w="109"/>
        <w:gridCol w:w="109"/>
        <w:gridCol w:w="109"/>
        <w:gridCol w:w="245"/>
        <w:gridCol w:w="664"/>
        <w:gridCol w:w="136"/>
        <w:gridCol w:w="109"/>
        <w:gridCol w:w="109"/>
        <w:gridCol w:w="109"/>
        <w:gridCol w:w="196"/>
        <w:gridCol w:w="516"/>
        <w:gridCol w:w="109"/>
        <w:gridCol w:w="109"/>
        <w:gridCol w:w="109"/>
        <w:gridCol w:w="109"/>
        <w:gridCol w:w="196"/>
        <w:gridCol w:w="516"/>
        <w:gridCol w:w="109"/>
        <w:gridCol w:w="109"/>
        <w:gridCol w:w="109"/>
        <w:gridCol w:w="109"/>
        <w:gridCol w:w="245"/>
        <w:gridCol w:w="664"/>
        <w:gridCol w:w="136"/>
        <w:gridCol w:w="109"/>
        <w:gridCol w:w="109"/>
        <w:gridCol w:w="109"/>
        <w:gridCol w:w="196"/>
        <w:gridCol w:w="556"/>
        <w:gridCol w:w="160"/>
      </w:tblGrid>
      <w:tr>
        <w:trPr/>
        <w:tc>
          <w:tcPr>
            <w:tcW w:w="125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3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Topgolf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Jack Wolfskin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Topgolf</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Jack Wolfskin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7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revenues</w:t>
            </w:r>
          </w:p>
        </w:tc>
        <w:tc>
          <w:tcPr>
            <w:tcW w:w="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excluding depreciation and amortization</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venue expense</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Venue pre-opening costs</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w:t>
            </w:r>
          </w:p>
        </w:tc>
        <w:tc>
          <w:tcPr>
            <w:tcW w:w="6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before income taxes</w:t>
            </w:r>
          </w:p>
        </w:tc>
        <w:tc>
          <w:tcPr>
            <w:tcW w:w="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120"/>
        <w:ind w:left="0" w:right="0" w:firstLine="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16610"/>
                <wp:effectExtent l="0" t="0" r="0" b="0"/>
                <wp:wrapNone/>
                <wp:docPr id="13" name="Frame13"/>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120"/>
        <w:ind w:left="0" w:right="0" w:firstLine="270"/>
        <w:jc w:val="both"/>
        <w:rPr>
          <w:rFonts w:ascii="Times New Roman;serif" w:hAnsi="Times New Roman;serif"/>
          <w:b/>
          <w:color w:val="000000"/>
          <w:sz w:val="20"/>
        </w:rPr>
      </w:pPr>
      <w:r>
        <w:rPr>
          <w:rFonts w:ascii="Times New Roman;serif" w:hAnsi="Times New Roman;serif"/>
          <w:b/>
          <w:color w:val="000000"/>
          <w:sz w:val="20"/>
        </w:rPr>
        <w:t>Assets and Liabilities of Discontinued Operations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The following tables summarize the assets and liabilities of discontinued operations on the </w:t>
      </w:r>
      <w:r>
        <w:rPr>
          <w:rFonts w:ascii="Times New Roman;serif" w:hAnsi="Times New Roman;serif"/>
          <w:b w:val="false"/>
          <w:color w:val="000000"/>
          <w:sz w:val="20"/>
          <w:shd w:fill="FFFFFF" w:val="clear"/>
        </w:rPr>
        <w:t>condensed</w:t>
      </w:r>
      <w:r>
        <w:rPr>
          <w:color w:val="000000"/>
        </w:rPr>
        <w:t xml:space="preserve"> </w:t>
      </w:r>
      <w:r>
        <w:rPr>
          <w:rFonts w:ascii="Times New Roman;serif" w:hAnsi="Times New Roman;serif"/>
          <w:b w:val="false"/>
          <w:color w:val="000000"/>
          <w:sz w:val="20"/>
        </w:rPr>
        <w:t>consolidated balance sheets for the periods presented (in millions). As Jack Wolfskin was sold on May 31, 2025, and the sale of Topgolf was completed effective January 1, 2026, there are no assets or liabilities of discontinued operations as of June 30, 2026.</w:t>
      </w:r>
    </w:p>
    <w:tbl>
      <w:tblPr>
        <w:tblW w:w="5356" w:type="dxa"/>
        <w:jc w:val="left"/>
        <w:tblInd w:w="0" w:type="dxa"/>
        <w:tblLayout w:type="fixed"/>
        <w:tblCellMar>
          <w:top w:w="28" w:type="dxa"/>
          <w:left w:w="28" w:type="dxa"/>
          <w:bottom w:w="28" w:type="dxa"/>
          <w:right w:w="28" w:type="dxa"/>
        </w:tblCellMar>
      </w:tblPr>
      <w:tblGrid>
        <w:gridCol w:w="1381"/>
        <w:gridCol w:w="1213"/>
        <w:gridCol w:w="1216"/>
        <w:gridCol w:w="291"/>
        <w:gridCol w:w="1027"/>
        <w:gridCol w:w="228"/>
      </w:tblGrid>
      <w:tr>
        <w:trPr/>
        <w:tc>
          <w:tcPr>
            <w:tcW w:w="138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356"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Topgolf</w:t>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of discontinued operations</w:t>
            </w:r>
          </w:p>
        </w:tc>
        <w:tc>
          <w:tcPr>
            <w:tcW w:w="1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 of discontinued operations</w:t>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assets of discontinued operations</w:t>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net</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and trademarks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assets of discontinued operations</w:t>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4,011.5 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of discontinued operations</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4,170.0 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of discontinued operations</w:t>
            </w:r>
          </w:p>
        </w:tc>
        <w:tc>
          <w:tcPr>
            <w:tcW w:w="15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compensation and benefits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short-term</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advances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 of discontinued operations</w:t>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 of discontinued operations</w:t>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long-term</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Deemed landlord financing obligations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liabilities of discontinued operations</w:t>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2,788.5 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of discontinued operations</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3,113.5 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16610"/>
                <wp:effectExtent l="0" t="0" r="0" b="0"/>
                <wp:wrapNone/>
                <wp:docPr id="14" name="Frame14"/>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300" w:after="120"/>
        <w:jc w:val="left"/>
        <w:rPr>
          <w:rFonts w:ascii="Times New Roman;serif" w:hAnsi="Times New Roman;serif"/>
          <w:b/>
          <w:color w:val="000000"/>
          <w:sz w:val="20"/>
        </w:rPr>
      </w:pPr>
      <w:r>
        <w:rPr>
          <w:rFonts w:ascii="Times New Roman;serif" w:hAnsi="Times New Roman;serif"/>
          <w:b/>
          <w:color w:val="000000"/>
          <w:sz w:val="20"/>
        </w:rPr>
        <w:t>Note 4. Revenue Recognition</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recognize revenue from the sale of our products. </w:t>
      </w:r>
      <w:r>
        <w:rPr>
          <w:rFonts w:ascii="Times New Roman;serif" w:hAnsi="Times New Roman;serif"/>
          <w:b w:val="false"/>
          <w:color w:val="000000"/>
          <w:sz w:val="20"/>
          <w:shd w:fill="FFFFFF" w:val="clear"/>
        </w:rPr>
        <w:t>The following table presents our net sales disaggregated by operating and reportable segment and major category (in millions):</w:t>
      </w:r>
    </w:p>
    <w:tbl>
      <w:tblPr>
        <w:tblW w:w="10205" w:type="dxa"/>
        <w:jc w:val="left"/>
        <w:tblInd w:w="0" w:type="dxa"/>
        <w:tblLayout w:type="fixed"/>
        <w:tblCellMar>
          <w:top w:w="28" w:type="dxa"/>
          <w:left w:w="28" w:type="dxa"/>
          <w:bottom w:w="28" w:type="dxa"/>
          <w:right w:w="28" w:type="dxa"/>
        </w:tblCellMar>
      </w:tblPr>
      <w:tblGrid>
        <w:gridCol w:w="1906"/>
        <w:gridCol w:w="1676"/>
        <w:gridCol w:w="1681"/>
        <w:gridCol w:w="215"/>
        <w:gridCol w:w="611"/>
        <w:gridCol w:w="119"/>
        <w:gridCol w:w="119"/>
        <w:gridCol w:w="119"/>
        <w:gridCol w:w="119"/>
        <w:gridCol w:w="215"/>
        <w:gridCol w:w="611"/>
        <w:gridCol w:w="119"/>
        <w:gridCol w:w="109"/>
        <w:gridCol w:w="109"/>
        <w:gridCol w:w="109"/>
        <w:gridCol w:w="196"/>
        <w:gridCol w:w="691"/>
        <w:gridCol w:w="109"/>
        <w:gridCol w:w="109"/>
        <w:gridCol w:w="109"/>
        <w:gridCol w:w="109"/>
        <w:gridCol w:w="196"/>
        <w:gridCol w:w="691"/>
        <w:gridCol w:w="158"/>
      </w:tblGrid>
      <w:tr>
        <w:trPr/>
        <w:tc>
          <w:tcPr>
            <w:tcW w:w="1906"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63"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color w:val="000000"/>
                <w:sz w:val="18"/>
              </w:rPr>
            </w:pPr>
            <w:r>
              <w:rPr>
                <w:rFonts w:ascii="Times New Roman;serif" w:hAnsi="Times New Roman;serif"/>
                <w:b/>
                <w:color w:val="000000"/>
                <w:sz w:val="18"/>
              </w:rPr>
              <w:t>Net Sales by Operating and Reportable Segment and Major Category</w:t>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Equipment:</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clubs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balls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Golf Equipment</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Apparel, Gear and Other:</w:t>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Apparel</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Gear, accessories &amp; other</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Apparel, Gear and Other</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Consolidated</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63"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263"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263"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263"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263"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5263"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sales</w:t>
      </w:r>
    </w:p>
    <w:p>
      <w:pPr>
        <w:pStyle w:val="TextBody"/>
        <w:bidi w:val="0"/>
        <w:spacing w:lineRule="auto" w:line="288" w:before="120" w:after="60"/>
        <w:ind w:left="0" w:right="0" w:firstLine="450"/>
        <w:jc w:val="both"/>
        <w:rPr/>
      </w:pPr>
      <w:r>
        <w:rPr>
          <w:rFonts w:ascii="Times New Roman;serif" w:hAnsi="Times New Roman;serif"/>
          <w:b w:val="false"/>
          <w:color w:val="000000"/>
          <w:sz w:val="20"/>
          <w:shd w:fill="FFFFFF" w:val="clear"/>
        </w:rPr>
        <w:t xml:space="preserve">We sell our Golf Equipment products and </w:t>
      </w:r>
      <w:r>
        <w:rPr>
          <w:rFonts w:ascii="Times New Roman;serif" w:hAnsi="Times New Roman;serif"/>
          <w:b w:val="false"/>
          <w:color w:val="000000"/>
          <w:sz w:val="20"/>
        </w:rPr>
        <w:t>Apparel, Gear and Other</w:t>
      </w:r>
      <w:r>
        <w:rPr>
          <w:color w:val="000000"/>
          <w:shd w:fill="FFFFFF" w:val="clear"/>
        </w:rPr>
        <w:t xml:space="preserve"> </w:t>
      </w:r>
      <w:r>
        <w:rPr>
          <w:rFonts w:ascii="Times New Roman;serif" w:hAnsi="Times New Roman;serif"/>
          <w:b w:val="false"/>
          <w:color w:val="000000"/>
          <w:sz w:val="20"/>
          <w:shd w:fill="FFFFFF" w:val="clear"/>
        </w:rPr>
        <w:t xml:space="preserve">products in the United States and internationally, with our principal international regions being Europe and Asia. </w:t>
      </w:r>
      <w:r>
        <w:rPr>
          <w:rFonts w:ascii="Times New Roman;serif" w:hAnsi="Times New Roman;serif"/>
          <w:b w:val="false"/>
          <w:color w:val="000000"/>
          <w:sz w:val="20"/>
        </w:rPr>
        <w:t>Golf Equipment product sales are generally higher than Apparel, Gear and Other sales in all regions.</w:t>
      </w:r>
    </w:p>
    <w:p>
      <w:pPr>
        <w:pStyle w:val="TextBody"/>
        <w:bidi w:val="0"/>
        <w:spacing w:lineRule="auto" w:line="288" w:before="12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sales by geographical region (in millions):</w:t>
      </w:r>
    </w:p>
    <w:tbl>
      <w:tblPr>
        <w:tblW w:w="8116" w:type="dxa"/>
        <w:jc w:val="left"/>
        <w:tblInd w:w="0" w:type="dxa"/>
        <w:tblLayout w:type="fixed"/>
        <w:tblCellMar>
          <w:top w:w="28" w:type="dxa"/>
          <w:left w:w="28" w:type="dxa"/>
          <w:bottom w:w="28" w:type="dxa"/>
          <w:right w:w="28" w:type="dxa"/>
        </w:tblCellMar>
      </w:tblPr>
      <w:tblGrid>
        <w:gridCol w:w="1145"/>
        <w:gridCol w:w="1007"/>
        <w:gridCol w:w="1013"/>
        <w:gridCol w:w="216"/>
        <w:gridCol w:w="614"/>
        <w:gridCol w:w="120"/>
        <w:gridCol w:w="120"/>
        <w:gridCol w:w="120"/>
        <w:gridCol w:w="120"/>
        <w:gridCol w:w="216"/>
        <w:gridCol w:w="614"/>
        <w:gridCol w:w="120"/>
        <w:gridCol w:w="109"/>
        <w:gridCol w:w="109"/>
        <w:gridCol w:w="109"/>
        <w:gridCol w:w="196"/>
        <w:gridCol w:w="691"/>
        <w:gridCol w:w="109"/>
        <w:gridCol w:w="109"/>
        <w:gridCol w:w="109"/>
        <w:gridCol w:w="109"/>
        <w:gridCol w:w="196"/>
        <w:gridCol w:w="69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Sales by Major Geographic Region:</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Consolidated</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Licensing and royalties</w:t>
      </w:r>
    </w:p>
    <w:p>
      <w:pPr>
        <w:pStyle w:val="TextBody"/>
        <w:bidi w:val="0"/>
        <w:spacing w:lineRule="auto" w:line="288" w:before="120" w:after="60"/>
        <w:ind w:left="0" w:right="0" w:firstLine="450"/>
        <w:jc w:val="both"/>
        <w:rPr/>
      </w:pPr>
      <w:r>
        <w:rPr>
          <w:rFonts w:ascii="Times New Roman;serif" w:hAnsi="Times New Roman;serif"/>
          <w:b w:val="false"/>
          <w:color w:val="000000"/>
          <w:sz w:val="20"/>
          <w:shd w:fill="FFFFFF" w:val="clear"/>
        </w:rPr>
        <w:t xml:space="preserve">We have licensing and royalty income from licensing agreements for apparel and soft good products in our </w:t>
      </w:r>
      <w:r>
        <w:rPr>
          <w:rFonts w:ascii="Times New Roman;serif" w:hAnsi="Times New Roman;serif"/>
          <w:b w:val="false"/>
          <w:color w:val="000000"/>
          <w:sz w:val="20"/>
        </w:rPr>
        <w:t>Apparel, Gear and Other</w:t>
      </w:r>
      <w:r>
        <w:rPr>
          <w:color w:val="000000"/>
          <w:shd w:fill="FFFFFF" w:val="clear"/>
        </w:rPr>
        <w:t xml:space="preserve"> </w:t>
      </w:r>
      <w:r>
        <w:rPr>
          <w:rFonts w:ascii="Times New Roman;serif" w:hAnsi="Times New Roman;serif"/>
          <w:b w:val="false"/>
          <w:color w:val="000000"/>
          <w:sz w:val="20"/>
          <w:shd w:fill="FFFFFF" w:val="clear"/>
        </w:rPr>
        <w:t>operating segment. The following table summarizes the licensing and royalty income recognized in net sales for the periods presented (in millions):</w:t>
      </w:r>
    </w:p>
    <w:tbl>
      <w:tblPr>
        <w:tblW w:w="6576" w:type="dxa"/>
        <w:jc w:val="left"/>
        <w:tblInd w:w="0" w:type="dxa"/>
        <w:tblLayout w:type="fixed"/>
        <w:tblCellMar>
          <w:top w:w="28" w:type="dxa"/>
          <w:left w:w="28" w:type="dxa"/>
          <w:bottom w:w="28" w:type="dxa"/>
          <w:right w:w="28" w:type="dxa"/>
        </w:tblCellMar>
      </w:tblPr>
      <w:tblGrid>
        <w:gridCol w:w="678"/>
        <w:gridCol w:w="596"/>
        <w:gridCol w:w="601"/>
        <w:gridCol w:w="262"/>
        <w:gridCol w:w="504"/>
        <w:gridCol w:w="146"/>
        <w:gridCol w:w="146"/>
        <w:gridCol w:w="146"/>
        <w:gridCol w:w="146"/>
        <w:gridCol w:w="262"/>
        <w:gridCol w:w="504"/>
        <w:gridCol w:w="146"/>
        <w:gridCol w:w="109"/>
        <w:gridCol w:w="109"/>
        <w:gridCol w:w="109"/>
        <w:gridCol w:w="216"/>
        <w:gridCol w:w="515"/>
        <w:gridCol w:w="120"/>
        <w:gridCol w:w="120"/>
        <w:gridCol w:w="120"/>
        <w:gridCol w:w="120"/>
        <w:gridCol w:w="216"/>
        <w:gridCol w:w="515"/>
        <w:gridCol w:w="170"/>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Apparel, Gear and Other</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27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Deferred revenue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short-term deferred revenue balance consists primarily of revenue from the sale of gift cards and accrued customer loyalty points.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16610"/>
                <wp:effectExtent l="0" t="0" r="0" b="0"/>
                <wp:wrapNone/>
                <wp:docPr id="15" name="Frame15"/>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 following table provides a reconciliation of activity related to our</w:t>
      </w:r>
      <w:r>
        <w:rPr>
          <w:color w:val="000000"/>
          <w:shd w:fill="FFFFFF" w:val="clear"/>
        </w:rPr>
        <w:t xml:space="preserve"> </w:t>
      </w:r>
      <w:r>
        <w:rPr>
          <w:rFonts w:ascii="Times New Roman;serif" w:hAnsi="Times New Roman;serif"/>
          <w:b w:val="false"/>
          <w:color w:val="000000"/>
          <w:sz w:val="20"/>
          <w:shd w:fill="FFFFFF" w:val="clear"/>
        </w:rPr>
        <w:t xml:space="preserve">short-term deferred revenue </w:t>
      </w:r>
      <w:r>
        <w:rPr>
          <w:rFonts w:ascii="Times New Roman;serif" w:hAnsi="Times New Roman;serif"/>
          <w:b w:val="false"/>
          <w:color w:val="000000"/>
          <w:sz w:val="20"/>
        </w:rPr>
        <w:t>balance for the periods presented (in millions):</w:t>
      </w:r>
    </w:p>
    <w:tbl>
      <w:tblPr>
        <w:tblW w:w="10205" w:type="dxa"/>
        <w:jc w:val="left"/>
        <w:tblInd w:w="0" w:type="dxa"/>
        <w:tblLayout w:type="fixed"/>
        <w:tblCellMar>
          <w:top w:w="28" w:type="dxa"/>
          <w:left w:w="28" w:type="dxa"/>
          <w:bottom w:w="28" w:type="dxa"/>
          <w:right w:w="28" w:type="dxa"/>
        </w:tblCellMar>
      </w:tblPr>
      <w:tblGrid>
        <w:gridCol w:w="1173"/>
        <w:gridCol w:w="1011"/>
        <w:gridCol w:w="1019"/>
        <w:gridCol w:w="345"/>
        <w:gridCol w:w="822"/>
        <w:gridCol w:w="192"/>
        <w:gridCol w:w="192"/>
        <w:gridCol w:w="192"/>
        <w:gridCol w:w="192"/>
        <w:gridCol w:w="345"/>
        <w:gridCol w:w="822"/>
        <w:gridCol w:w="192"/>
        <w:gridCol w:w="171"/>
        <w:gridCol w:w="171"/>
        <w:gridCol w:w="171"/>
        <w:gridCol w:w="326"/>
        <w:gridCol w:w="777"/>
        <w:gridCol w:w="181"/>
        <w:gridCol w:w="181"/>
        <w:gridCol w:w="181"/>
        <w:gridCol w:w="181"/>
        <w:gridCol w:w="326"/>
        <w:gridCol w:w="777"/>
        <w:gridCol w:w="265"/>
      </w:tblGrid>
      <w:tr>
        <w:trPr/>
        <w:tc>
          <w:tcPr>
            <w:tcW w:w="117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Beginning Balance </w:t>
            </w:r>
            <w:r>
              <w:rPr>
                <w:rFonts w:ascii="Times New Roman;serif" w:hAnsi="Times New Roman;serif"/>
                <w:b w:val="false"/>
                <w:color w:val="000000"/>
                <w:sz w:val="12"/>
              </w:rPr>
              <w:t>(1)</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Deferral of revenue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recognized</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translation and other</w:t>
            </w:r>
            <w:r>
              <w:rPr>
                <w:color w:val="000000"/>
              </w:rPr>
              <w:t xml:space="preserve"> </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40"/>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Beginning balances for the three months ended June 30, 2026 and 2025 represent ending balances as of March 31, 2026 and 2025, respectively. Beginning balances for the six months ended June 30, 2026 and 2025 represent ending balances as of December 31, 2025 and 2024, respectively.</w:t>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Deferred revenue recognized during the three months ended June 30, 2026 and 2025 from gift card redemptions that were included in the deferred revenue balance at the end of the prior year period was $0.7 million and $1.0 million, respectively. Deferred revenue recognized during the six months ended June 30, 2026 and 2025 from gift card redemptions that were included in the deferred revenue balance at the end of the prior year period was $2.0 million and $2.4 million, respectively. The increase in revenue recognized during the three and six months ended June 30, 2026, includes the impact of the transition to a new customer loyalty program related to our TravisMathew business. We have recognized $2.2 million and $8.0 million, respectively, of deferred revenue related to expired loyalty points during the three and six months ended June 30, 2026.</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Variable Consideration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 revenue based on the amount of consideration we expect to receive from customers for the sale of our products adjusted for estimates of variable consideration related to sales returns, discounts and allowances, sales promotions and sales programs, and price concessions. These estimates are based on the amounts earned or expected to be claimed by customers.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balances for our short-term sales incentive program included in accounts receivable, net on our condensed consolidated balance sheets, were $28.9 million and $15.0 million, respectively.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balances for our sales return reserve included in accounts receivable, net on our condensed consolidated balance sheets, were $100.1 million and $64.2 million, respectively. For these periods, the related cost recovery balances of inventory associated with the sales return liability included in other current assets on our condensed consolidated balance sheets, were $42.2 million and $30.4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16610"/>
                <wp:effectExtent l="0" t="0" r="0" b="0"/>
                <wp:wrapNone/>
                <wp:docPr id="16" name="Frame16"/>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280" w:after="283"/>
        <w:jc w:val="both"/>
        <w:rPr/>
      </w:pPr>
      <w:r>
        <w:rPr>
          <w:rFonts w:ascii="Times New Roman;serif" w:hAnsi="Times New Roman;serif"/>
          <w:b/>
          <w:color w:val="000000"/>
          <w:sz w:val="20"/>
          <w:shd w:fill="FFFFFF" w:val="clear"/>
        </w:rPr>
        <w:t>Note 5. Leases</w:t>
      </w:r>
      <w:r>
        <w:rPr>
          <w:color w:val="000000"/>
          <w:shd w:fill="FFFFFF" w:val="clear"/>
        </w:rPr>
        <w:t xml:space="preserve"> </w:t>
      </w:r>
    </w:p>
    <w:p>
      <w:pPr>
        <w:pStyle w:val="TextBody"/>
        <w:bidi w:val="0"/>
        <w:spacing w:lineRule="auto" w:line="288" w:before="12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Operating leases and financing leases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our operating and financing right of use (“ROU”) assets and lease liabilities is as follows (in millions):</w:t>
      </w:r>
    </w:p>
    <w:tbl>
      <w:tblPr>
        <w:tblW w:w="8737" w:type="dxa"/>
        <w:jc w:val="center"/>
        <w:tblInd w:w="0" w:type="dxa"/>
        <w:tblLayout w:type="fixed"/>
        <w:tblCellMar>
          <w:top w:w="28" w:type="dxa"/>
          <w:left w:w="28" w:type="dxa"/>
          <w:bottom w:w="28" w:type="dxa"/>
          <w:right w:w="28" w:type="dxa"/>
        </w:tblCellMar>
      </w:tblPr>
      <w:tblGrid>
        <w:gridCol w:w="982"/>
        <w:gridCol w:w="861"/>
        <w:gridCol w:w="871"/>
        <w:gridCol w:w="899"/>
        <w:gridCol w:w="899"/>
        <w:gridCol w:w="902"/>
        <w:gridCol w:w="109"/>
        <w:gridCol w:w="109"/>
        <w:gridCol w:w="109"/>
        <w:gridCol w:w="256"/>
        <w:gridCol w:w="727"/>
        <w:gridCol w:w="142"/>
        <w:gridCol w:w="109"/>
        <w:gridCol w:w="109"/>
        <w:gridCol w:w="109"/>
        <w:gridCol w:w="334"/>
        <w:gridCol w:w="948"/>
        <w:gridCol w:w="262"/>
      </w:tblGrid>
      <w:tr>
        <w:trPr/>
        <w:tc>
          <w:tcPr>
            <w:tcW w:w="98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2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ROU assets, net</w:t>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ROU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 ROU assets, net</w:t>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short-term</w:t>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short-term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 liabilities, short-term</w:t>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w:t>
            </w:r>
          </w:p>
        </w:tc>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long-term</w:t>
            </w:r>
          </w:p>
        </w:tc>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 liabilities, long-term</w:t>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Lease Termination Incentive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2025, we signed an agreement with the landlord of our Japanese subsidiary’s headquarters to terminate a lease prior to its original end date in exchange for a cash incentive of 1,800.0 million Yen (approximately $12.0 million). As a result, we recognized a $12.0 million gain on lease termination, which was recorded within selling, general and administrative expenses in our condensed consolidated statement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excluding the impact from the lease termination incentive, included in our condensed consolidated statement of operations for the periods presented below are as follows (in millions):</w:t>
      </w:r>
    </w:p>
    <w:tbl>
      <w:tblPr>
        <w:tblW w:w="6843" w:type="dxa"/>
        <w:jc w:val="left"/>
        <w:tblInd w:w="0" w:type="dxa"/>
        <w:tblLayout w:type="fixed"/>
        <w:tblCellMar>
          <w:top w:w="28" w:type="dxa"/>
          <w:left w:w="28" w:type="dxa"/>
          <w:bottom w:w="28" w:type="dxa"/>
          <w:right w:w="28" w:type="dxa"/>
        </w:tblCellMar>
      </w:tblPr>
      <w:tblGrid>
        <w:gridCol w:w="776"/>
        <w:gridCol w:w="683"/>
        <w:gridCol w:w="686"/>
        <w:gridCol w:w="249"/>
        <w:gridCol w:w="593"/>
        <w:gridCol w:w="138"/>
        <w:gridCol w:w="138"/>
        <w:gridCol w:w="138"/>
        <w:gridCol w:w="138"/>
        <w:gridCol w:w="249"/>
        <w:gridCol w:w="478"/>
        <w:gridCol w:w="138"/>
        <w:gridCol w:w="109"/>
        <w:gridCol w:w="109"/>
        <w:gridCol w:w="109"/>
        <w:gridCol w:w="216"/>
        <w:gridCol w:w="515"/>
        <w:gridCol w:w="120"/>
        <w:gridCol w:w="120"/>
        <w:gridCol w:w="120"/>
        <w:gridCol w:w="120"/>
        <w:gridCol w:w="216"/>
        <w:gridCol w:w="515"/>
        <w:gridCol w:w="170"/>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4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45" w:type="dxa"/>
            <w:gridSpan w:val="3"/>
            <w:vMerge w:val="continue"/>
            <w:tcBorders/>
            <w:tcMar>
              <w:top w:w="0" w:type="dxa"/>
              <w:left w:w="0" w:type="dxa"/>
              <w:bottom w:w="0" w:type="dxa"/>
              <w:right w:w="0" w:type="dxa"/>
            </w:tcMar>
            <w:vAlign w:val="center"/>
          </w:tcPr>
          <w:p>
            <w:pPr>
              <w:pStyle w:val="Normal"/>
              <w:bidi w:val="0"/>
              <w:jc w:val="left"/>
              <w:rPr/>
            </w:pPr>
            <w:r>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costs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 costs:</w:t>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ROU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financing lease costs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costs</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Other information related to leases (in millions): </w:t>
      </w:r>
    </w:p>
    <w:tbl>
      <w:tblPr>
        <w:tblW w:w="7523" w:type="dxa"/>
        <w:jc w:val="center"/>
        <w:tblInd w:w="0" w:type="dxa"/>
        <w:tblLayout w:type="fixed"/>
        <w:tblCellMar>
          <w:top w:w="28" w:type="dxa"/>
          <w:left w:w="28" w:type="dxa"/>
          <w:bottom w:w="28" w:type="dxa"/>
          <w:right w:w="28" w:type="dxa"/>
        </w:tblCellMar>
      </w:tblPr>
      <w:tblGrid>
        <w:gridCol w:w="1842"/>
        <w:gridCol w:w="1619"/>
        <w:gridCol w:w="1623"/>
        <w:gridCol w:w="109"/>
        <w:gridCol w:w="109"/>
        <w:gridCol w:w="109"/>
        <w:gridCol w:w="216"/>
        <w:gridCol w:w="515"/>
        <w:gridCol w:w="120"/>
        <w:gridCol w:w="120"/>
        <w:gridCol w:w="120"/>
        <w:gridCol w:w="120"/>
        <w:gridCol w:w="216"/>
        <w:gridCol w:w="515"/>
        <w:gridCol w:w="170"/>
      </w:tblGrid>
      <w:tr>
        <w:trPr/>
        <w:tc>
          <w:tcPr>
            <w:tcW w:w="1842"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Cash Flows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arising from new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2439" w:type="dxa"/>
            <w:gridSpan w:val="1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16610"/>
                <wp:effectExtent l="0" t="0" r="0" b="0"/>
                <wp:wrapNone/>
                <wp:docPr id="17" name="Frame17"/>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6476" w:type="dxa"/>
        <w:jc w:val="left"/>
        <w:tblInd w:w="0" w:type="dxa"/>
        <w:tblLayout w:type="fixed"/>
        <w:tblCellMar>
          <w:top w:w="28" w:type="dxa"/>
          <w:left w:w="28" w:type="dxa"/>
          <w:bottom w:w="28" w:type="dxa"/>
          <w:right w:w="28" w:type="dxa"/>
        </w:tblCellMar>
      </w:tblPr>
      <w:tblGrid>
        <w:gridCol w:w="1261"/>
        <w:gridCol w:w="1107"/>
        <w:gridCol w:w="1112"/>
        <w:gridCol w:w="258"/>
        <w:gridCol w:w="258"/>
        <w:gridCol w:w="608"/>
        <w:gridCol w:w="109"/>
        <w:gridCol w:w="109"/>
        <w:gridCol w:w="109"/>
        <w:gridCol w:w="323"/>
        <w:gridCol w:w="323"/>
        <w:gridCol w:w="899"/>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(years):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leases</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leases</w:t>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our future minimum lease obligations were as follows (in millions):</w:t>
      </w:r>
    </w:p>
    <w:tbl>
      <w:tblPr>
        <w:tblW w:w="6313" w:type="dxa"/>
        <w:jc w:val="center"/>
        <w:tblInd w:w="0" w:type="dxa"/>
        <w:tblLayout w:type="fixed"/>
        <w:tblCellMar>
          <w:top w:w="28" w:type="dxa"/>
          <w:left w:w="28" w:type="dxa"/>
          <w:bottom w:w="28" w:type="dxa"/>
          <w:right w:w="28" w:type="dxa"/>
        </w:tblCellMar>
      </w:tblPr>
      <w:tblGrid>
        <w:gridCol w:w="745"/>
        <w:gridCol w:w="653"/>
        <w:gridCol w:w="656"/>
        <w:gridCol w:w="310"/>
        <w:gridCol w:w="882"/>
        <w:gridCol w:w="172"/>
        <w:gridCol w:w="109"/>
        <w:gridCol w:w="109"/>
        <w:gridCol w:w="109"/>
        <w:gridCol w:w="338"/>
        <w:gridCol w:w="807"/>
        <w:gridCol w:w="190"/>
        <w:gridCol w:w="109"/>
        <w:gridCol w:w="109"/>
        <w:gridCol w:w="109"/>
        <w:gridCol w:w="196"/>
        <w:gridCol w:w="556"/>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lease payments</w:t>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16610"/>
                <wp:effectExtent l="0" t="0" r="0" b="0"/>
                <wp:wrapNone/>
                <wp:docPr id="18" name="Frame18"/>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30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Financing Arrangements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credit facilities and long-term debt obligations are summarized as follows (in millions, except interest rates):</w:t>
      </w:r>
    </w:p>
    <w:tbl>
      <w:tblPr>
        <w:tblW w:w="10205" w:type="dxa"/>
        <w:jc w:val="left"/>
        <w:tblInd w:w="0" w:type="dxa"/>
        <w:tblLayout w:type="fixed"/>
        <w:tblCellMar>
          <w:top w:w="28" w:type="dxa"/>
          <w:left w:w="28" w:type="dxa"/>
          <w:bottom w:w="28" w:type="dxa"/>
          <w:right w:w="28" w:type="dxa"/>
        </w:tblCellMar>
      </w:tblPr>
      <w:tblGrid>
        <w:gridCol w:w="1148"/>
        <w:gridCol w:w="995"/>
        <w:gridCol w:w="998"/>
        <w:gridCol w:w="109"/>
        <w:gridCol w:w="109"/>
        <w:gridCol w:w="109"/>
        <w:gridCol w:w="919"/>
        <w:gridCol w:w="883"/>
        <w:gridCol w:w="887"/>
        <w:gridCol w:w="109"/>
        <w:gridCol w:w="109"/>
        <w:gridCol w:w="109"/>
        <w:gridCol w:w="389"/>
        <w:gridCol w:w="389"/>
        <w:gridCol w:w="390"/>
        <w:gridCol w:w="109"/>
        <w:gridCol w:w="109"/>
        <w:gridCol w:w="109"/>
        <w:gridCol w:w="196"/>
        <w:gridCol w:w="466"/>
        <w:gridCol w:w="109"/>
        <w:gridCol w:w="109"/>
        <w:gridCol w:w="109"/>
        <w:gridCol w:w="109"/>
        <w:gridCol w:w="210"/>
        <w:gridCol w:w="746"/>
        <w:gridCol w:w="172"/>
      </w:tblGrid>
      <w:tr>
        <w:trPr/>
        <w:tc>
          <w:tcPr>
            <w:tcW w:w="114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Short-Term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2023 ABL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16,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Japan ABL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21,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ABL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Asset-based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5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 and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 Term Loan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16,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15, 2026 - December 21,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2.36% - 5.93%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Financed Tenant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 2035 - September 1, 2035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8.00% - 10.00%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 of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Long-term debt,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 of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7064" w:type="dxa"/>
            <w:gridSpan w:val="24"/>
            <w:tcBorders/>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7064" w:type="dxa"/>
            <w:gridSpan w:val="24"/>
            <w:tcBorders/>
          </w:tcPr>
          <w:p>
            <w:pPr>
              <w:pStyle w:val="TableContents"/>
              <w:bidi w:val="0"/>
              <w:spacing w:before="0" w:after="283"/>
              <w:jc w:val="left"/>
              <w:rPr>
                <w:sz w:val="4"/>
                <w:szCs w:val="4"/>
              </w:rPr>
            </w:pPr>
            <w:r>
              <w:rPr>
                <w:sz w:val="4"/>
                <w:szCs w:val="4"/>
              </w:rPr>
            </w:r>
          </w:p>
        </w:tc>
      </w:tr>
      <w:tr>
        <w:trPr/>
        <w:tc>
          <w:tcPr>
            <w:tcW w:w="3141" w:type="dxa"/>
            <w:gridSpan w:val="3"/>
            <w:tcBorders/>
            <w:vAlign w:val="center"/>
          </w:tcPr>
          <w:p>
            <w:pPr>
              <w:pStyle w:val="TableContents"/>
              <w:bidi w:val="0"/>
              <w:spacing w:before="0" w:after="283"/>
              <w:jc w:val="left"/>
              <w:rPr>
                <w:sz w:val="4"/>
                <w:szCs w:val="4"/>
              </w:rPr>
            </w:pPr>
            <w:r>
              <w:rPr>
                <w:sz w:val="4"/>
                <w:szCs w:val="4"/>
              </w:rPr>
            </w:r>
          </w:p>
        </w:tc>
        <w:tc>
          <w:tcPr>
            <w:tcW w:w="7064"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Total interest and amortization expense related to our credit facilities and long-term debt obligations, which were recognized in interest income (expense), net on the condensed consolidated statement of operations, is summarized as follows (in millions):</w:t>
      </w:r>
    </w:p>
    <w:tbl>
      <w:tblPr>
        <w:tblW w:w="7713" w:type="dxa"/>
        <w:jc w:val="left"/>
        <w:tblInd w:w="0" w:type="dxa"/>
        <w:tblLayout w:type="fixed"/>
        <w:tblCellMar>
          <w:top w:w="28" w:type="dxa"/>
          <w:left w:w="28" w:type="dxa"/>
          <w:bottom w:w="28" w:type="dxa"/>
          <w:right w:w="28" w:type="dxa"/>
        </w:tblCellMar>
      </w:tblPr>
      <w:tblGrid>
        <w:gridCol w:w="1091"/>
        <w:gridCol w:w="961"/>
        <w:gridCol w:w="963"/>
        <w:gridCol w:w="249"/>
        <w:gridCol w:w="478"/>
        <w:gridCol w:w="138"/>
        <w:gridCol w:w="138"/>
        <w:gridCol w:w="138"/>
        <w:gridCol w:w="138"/>
        <w:gridCol w:w="249"/>
        <w:gridCol w:w="593"/>
        <w:gridCol w:w="138"/>
        <w:gridCol w:w="109"/>
        <w:gridCol w:w="109"/>
        <w:gridCol w:w="109"/>
        <w:gridCol w:w="227"/>
        <w:gridCol w:w="436"/>
        <w:gridCol w:w="126"/>
        <w:gridCol w:w="126"/>
        <w:gridCol w:w="126"/>
        <w:gridCol w:w="126"/>
        <w:gridCol w:w="227"/>
        <w:gridCol w:w="540"/>
        <w:gridCol w:w="178"/>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Short-Term Credit Facilities</w:t>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Japan ABL Credit Facility</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 ABL Credit Facility</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 and Credit Facilities</w:t>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 Term Loan B</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Notes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Financed Tenant Improvements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4698" w:type="dxa"/>
            <w:gridSpan w:val="21"/>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Times New Roman;serif" w:hAnsi="Times New Roman;serif"/>
          <w:b/>
          <w:color w:val="000000"/>
          <w:sz w:val="20"/>
        </w:rPr>
      </w:pPr>
      <w:r>
        <w:rPr>
          <w:rFonts w:ascii="Times New Roman;serif" w:hAnsi="Times New Roman;serif"/>
          <w:b/>
          <w:color w:val="000000"/>
          <w:sz w:val="20"/>
        </w:rPr>
        <w:t>Short-Term Credit Facilities and Available Liquidity</w:t>
      </w:r>
    </w:p>
    <w:p>
      <w:pPr>
        <w:pStyle w:val="TextBody"/>
        <w:bidi w:val="0"/>
        <w:spacing w:lineRule="auto" w:line="288" w:before="120" w:after="60"/>
        <w:ind w:left="0" w:right="0" w:firstLine="450"/>
        <w:jc w:val="both"/>
        <w:rPr>
          <w:rFonts w:ascii="Times New Roman;serif" w:hAnsi="Times New Roman;serif"/>
          <w:b/>
          <w:i/>
          <w:color w:val="000000"/>
          <w:sz w:val="20"/>
        </w:rPr>
      </w:pPr>
      <w:r>
        <w:rPr>
          <w:rFonts w:ascii="Times New Roman;serif" w:hAnsi="Times New Roman;serif"/>
          <w:b/>
          <w:i/>
          <w:color w:val="000000"/>
          <w:sz w:val="20"/>
        </w:rPr>
        <w:t>2025 Japan ABL Credit Facility &amp; 2023 ABL Credit Facility</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Our 2025 Japan ABL Credit Facility provides a line of credit to our Japan subsidiary of up to 9,000.0 million Yen (or approximately $55.4 million using the exchange rate in effect as of June 30, 2026), and our 2023 ABL Credit Facility has an aggregate principal amount of up to $485.0 million. Both facilities are subject to certain restrictions and covenants related to pledged collateral and financial performance, and, among other things, include provisions that limit certain financing and operational activities and require ongoing compliance with specified performance</w:t>
        <w:noBreakHyphen/>
        <w:t>based or availability</w:t>
        <w:noBreakHyphen/>
        <w:t>related conditions, as applicable under the respective agreements. In addition, the 2023 ABL Credit Facility requires compliance with a minimum fixed charge coverage ratio of 1.0 to 1.0 during periods in which the borrowing base availability falls below 10% of the maximum aggregate principal amount of the facility.</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the covenants and other requirements applicable under the 2025 Japan ABL Credit Facility and the 2023 ABL Credit Facility.</w:t>
      </w:r>
    </w:p>
    <w:p>
      <w:pPr>
        <w:pStyle w:val="TextBody"/>
        <w:bidi w:val="0"/>
        <w:spacing w:lineRule="auto" w:line="288" w:before="120" w:after="60"/>
        <w:ind w:left="0" w:right="0" w:firstLine="450"/>
        <w:jc w:val="both"/>
        <w:rPr>
          <w:rFonts w:ascii="Times New Roman;serif" w:hAnsi="Times New Roman;serif"/>
          <w:b/>
          <w:i/>
          <w:color w:val="000000"/>
          <w:sz w:val="20"/>
        </w:rPr>
      </w:pPr>
      <w:r>
        <w:rPr>
          <w:rFonts w:ascii="Times New Roman;serif" w:hAnsi="Times New Roman;serif"/>
          <w:b/>
          <w:i/>
          <w:color w:val="000000"/>
          <w:sz w:val="20"/>
        </w:rPr>
        <w:t>Consolidated Available Liquidity</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As of June 30, 2026, our consolidated available liquidity, which is comprised of cash on hand and amounts available under our short-term credit facilities, less outstanding letters of credit and outstanding borrowings, was $774.7 million. Our average availability and weighted-average interest rate under our 2023 ABL Credit Facility and 2025 Japan ABL Credit Facility were as follows for the periods presented (in millions except interest rates):</w:t>
      </w:r>
    </w:p>
    <w:tbl>
      <w:tblPr>
        <w:tblW w:w="3733" w:type="dxa"/>
        <w:jc w:val="left"/>
        <w:tblInd w:w="0" w:type="dxa"/>
        <w:tblLayout w:type="fixed"/>
        <w:tblCellMar>
          <w:top w:w="28" w:type="dxa"/>
          <w:left w:w="28" w:type="dxa"/>
          <w:bottom w:w="28" w:type="dxa"/>
          <w:right w:w="28" w:type="dxa"/>
        </w:tblCellMar>
      </w:tblPr>
      <w:tblGrid>
        <w:gridCol w:w="929"/>
        <w:gridCol w:w="816"/>
        <w:gridCol w:w="819"/>
        <w:gridCol w:w="217"/>
        <w:gridCol w:w="618"/>
        <w:gridCol w:w="334"/>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2023 ABL Credit Facility</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availability</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409.0 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interest rate</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2025 Japan ABL Credit Facility</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availability</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interest rate</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270"/>
        <w:jc w:val="both"/>
        <w:rPr>
          <w:rFonts w:ascii="Times New Roman;serif" w:hAnsi="Times New Roman;serif"/>
          <w:b/>
          <w:color w:val="000000"/>
          <w:sz w:val="20"/>
        </w:rPr>
      </w:pPr>
      <w:r>
        <w:rPr>
          <w:rFonts w:ascii="Times New Roman;serif" w:hAnsi="Times New Roman;serif"/>
          <w:b/>
          <w:color w:val="000000"/>
          <w:sz w:val="20"/>
        </w:rPr>
        <w:t>Long-Term Debt and Credit Facilities</w:t>
      </w:r>
    </w:p>
    <w:p>
      <w:pPr>
        <w:pStyle w:val="TextBody"/>
        <w:bidi w:val="0"/>
        <w:spacing w:lineRule="auto" w:line="288" w:before="120" w:after="60"/>
        <w:ind w:left="0" w:right="0" w:firstLine="450"/>
        <w:jc w:val="both"/>
        <w:rPr>
          <w:rFonts w:ascii="Times New Roman;serif" w:hAnsi="Times New Roman;serif"/>
          <w:b/>
          <w:i/>
          <w:color w:val="000000"/>
          <w:sz w:val="20"/>
        </w:rPr>
      </w:pPr>
      <w:r>
        <w:rPr>
          <w:rFonts w:ascii="Times New Roman;serif" w:hAnsi="Times New Roman;serif"/>
          <w:b/>
          <w:i/>
          <w:color w:val="000000"/>
          <w:sz w:val="20"/>
        </w:rPr>
        <w:t>2023 Term Loan B</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 2025, in connection with the sale of the Topgolf business, our 2023 Term Loan B was amended to designate certain Topgolf entities as unrestricted subsidiaries and release them as guarantors, amend certain definitions and covenant provisions, and require a $500.0 million mandatory partial repayment upon consummation of the sale. </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January 2, 2026, in connection with the completion of the sale of Topgolf, we repaid $1,000.0 million under the 2023 Term Loan B comprised of a $500.0 million mandatory repayment and an additional discretionary repayment of $500.0 million. In conjunction with the repayment, we recognized a $15.0 million loss from the partial debt extinguishment to write off the proportionate amount of unamortized debt issuance costs and debt discounts. Of this amount, $7.5 million was allocated to continuing operations and was recognized in other income (expense), net on the condensed consolidated statement of operations. The remaining $7.5 million was allocated to discontinued operations and represents the portion of the write</w:t>
        <w:noBreakHyphen/>
        <w:t>off related to the mandatory prepayment of the loan required upon completion of the Topgolf sale. On May 29, 2026, we repaid the remaining $162.5 million principal balance outstanding under the 2023 Term Loan B. In connection with the repayment, we recognized a $2.3 million loss from debt extinguishment to write off the remaining unamortized debt issuance costs and debt discounts, which were recognized in other income (expense), net on the condensed consolidated statement of operations.</w:t>
      </w:r>
    </w:p>
    <w:p>
      <w:pPr>
        <w:pStyle w:val="TextBody"/>
        <w:bidi w:val="0"/>
        <w:spacing w:lineRule="auto" w:line="288" w:before="120" w:after="283"/>
        <w:ind w:left="0" w:right="0" w:firstLine="45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Convertible Notes &amp; Capped Call</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We had Convertible Notes outstanding that were convertible into shares of our common stock at an initial conversion rate of 56.8 shares per $1,000 principal amount (equivalent to a conversion price of $17.62 per share) and bore interest payable semi-annually on May 1 and November 1. The Convertible Notes could be settled in cash, shares, or a combination thereof at our election and became convertible at the holders' option upon the occurrence of certain contingent conversion events beginning February 1, 2026. In connection with the Convertible Notes, we entered into capped call transactions covering the shares initially underlying the Convertible Notes, which were intended to reduce potential dilution and/or offset cash payments upon conversion. The capped calls had an exercise price of $17.62 per share and a cap price of $23.71 per share, were subject to customary adjustments, and were recorded as a reduction to additional paid-in capital.</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On May 1, 2026, we settled our outstanding Convertible Notes at maturity in accordance with their terms, including the payment of accrued and unpaid interest. The settlement was completed entirely in cash, and no shares of common stock were issued. In connection with the settlement, the related capped call transactions expired unexercised.</w:t>
      </w:r>
    </w:p>
    <w:p>
      <w:pPr>
        <w:pStyle w:val="TextBody"/>
        <w:bidi w:val="0"/>
        <w:spacing w:lineRule="auto" w:line="288" w:before="120" w:after="283"/>
        <w:ind w:left="0" w:right="0" w:firstLine="450"/>
        <w:jc w:val="left"/>
        <w:rPr>
          <w:rFonts w:ascii="Times New Roman;serif" w:hAnsi="Times New Roman;serif"/>
          <w:b/>
          <w:i/>
          <w:color w:val="000000"/>
          <w:sz w:val="20"/>
        </w:rPr>
      </w:pPr>
      <w:r>
        <w:rPr>
          <w:rFonts w:ascii="Times New Roman;serif" w:hAnsi="Times New Roman;serif"/>
          <w:b/>
          <w:i/>
          <w:color w:val="000000"/>
          <w:sz w:val="20"/>
        </w:rPr>
        <w:t xml:space="preserve">Equipment Notes </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We have long-term financing agreements (the “Equipment Notes”) with various lenders related to various capital investments in certain facilities and information technology equipment. The loans are secured by the relative underlying equipment.</w:t>
      </w:r>
    </w:p>
    <w:p>
      <w:pPr>
        <w:pStyle w:val="TextBody"/>
        <w:bidi w:val="0"/>
        <w:spacing w:lineRule="auto" w:line="288" w:before="120" w:after="283"/>
        <w:ind w:left="0" w:right="0" w:firstLine="450"/>
        <w:jc w:val="both"/>
        <w:rPr>
          <w:rFonts w:ascii="Times New Roman;serif" w:hAnsi="Times New Roman;serif"/>
          <w:b/>
          <w:i/>
          <w:color w:val="000000"/>
          <w:sz w:val="20"/>
        </w:rPr>
      </w:pPr>
      <w:r>
        <w:rPr>
          <w:rFonts w:ascii="Times New Roman;serif" w:hAnsi="Times New Roman;serif"/>
          <w:b/>
          <w:i/>
          <w:color w:val="000000"/>
          <w:sz w:val="20"/>
        </w:rPr>
        <w:t>Aggregate Amount of Long-Term Debt Maturities</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combined aggregate amount of maturities for our long-term debt and credit facilities over the next five years and thereafter as of June 30, 2026 (in millions):</w:t>
      </w:r>
    </w:p>
    <w:tbl>
      <w:tblPr>
        <w:tblW w:w="3753" w:type="dxa"/>
        <w:jc w:val="left"/>
        <w:tblInd w:w="0" w:type="dxa"/>
        <w:tblLayout w:type="fixed"/>
        <w:tblCellMar>
          <w:top w:w="28" w:type="dxa"/>
          <w:left w:w="28" w:type="dxa"/>
          <w:bottom w:w="28" w:type="dxa"/>
          <w:right w:w="28" w:type="dxa"/>
        </w:tblCellMar>
      </w:tblPr>
      <w:tblGrid>
        <w:gridCol w:w="979"/>
        <w:gridCol w:w="859"/>
        <w:gridCol w:w="862"/>
        <w:gridCol w:w="109"/>
        <w:gridCol w:w="109"/>
        <w:gridCol w:w="109"/>
        <w:gridCol w:w="196"/>
        <w:gridCol w:w="376"/>
        <w:gridCol w:w="154"/>
      </w:tblGrid>
      <w:tr>
        <w:trPr/>
        <w:tc>
          <w:tcPr>
            <w:tcW w:w="97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aggregate amount of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16610"/>
                <wp:effectExtent l="0" t="0" r="0" b="0"/>
                <wp:wrapNone/>
                <wp:docPr id="19" name="Frame19"/>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28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Earnings (Loss) Per Common Share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earnings per common share for the periods presented (in millions, except per share data):</w:t>
      </w:r>
    </w:p>
    <w:tbl>
      <w:tblPr>
        <w:tblW w:w="9848" w:type="dxa"/>
        <w:jc w:val="left"/>
        <w:tblInd w:w="0" w:type="dxa"/>
        <w:tblLayout w:type="fixed"/>
        <w:tblCellMar>
          <w:top w:w="28" w:type="dxa"/>
          <w:left w:w="28" w:type="dxa"/>
          <w:bottom w:w="28" w:type="dxa"/>
          <w:right w:w="28" w:type="dxa"/>
        </w:tblCellMar>
      </w:tblPr>
      <w:tblGrid>
        <w:gridCol w:w="1863"/>
        <w:gridCol w:w="1637"/>
        <w:gridCol w:w="1644"/>
        <w:gridCol w:w="228"/>
        <w:gridCol w:w="543"/>
        <w:gridCol w:w="127"/>
        <w:gridCol w:w="127"/>
        <w:gridCol w:w="127"/>
        <w:gridCol w:w="127"/>
        <w:gridCol w:w="228"/>
        <w:gridCol w:w="630"/>
        <w:gridCol w:w="127"/>
        <w:gridCol w:w="109"/>
        <w:gridCol w:w="109"/>
        <w:gridCol w:w="109"/>
        <w:gridCol w:w="198"/>
        <w:gridCol w:w="561"/>
        <w:gridCol w:w="110"/>
        <w:gridCol w:w="110"/>
        <w:gridCol w:w="110"/>
        <w:gridCol w:w="110"/>
        <w:gridCol w:w="198"/>
        <w:gridCol w:w="561"/>
        <w:gridCol w:w="155"/>
      </w:tblGrid>
      <w:tr>
        <w:trPr/>
        <w:tc>
          <w:tcPr>
            <w:tcW w:w="1863"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(loss) per common share—basic</w:t>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8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common share:</w:t>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per common share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(loss) per common share—diluted</w:t>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Numerator:</w:t>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 Interest expense attributable to Convertible Notes, net of tax</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and assumed conversions</w:t>
            </w:r>
          </w:p>
        </w:tc>
        <w:tc>
          <w:tcPr>
            <w:tcW w:w="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earnings per common share</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Denominator:</w:t>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outstanding—basic</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Incremental shares for assumed conversion of Convertible Notes</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options, restricted stock units and performance share units</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outstanding—diluted</w:t>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common share:</w:t>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diluted earnings (loss) per common share</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25"/>
        <w:jc w:val="both"/>
        <w:rPr>
          <w:rFonts w:ascii="Times New Roman;serif" w:hAnsi="Times New Roman;serif"/>
          <w:b/>
          <w:i/>
          <w:color w:val="000000"/>
          <w:sz w:val="20"/>
        </w:rPr>
      </w:pPr>
      <w:r>
        <w:rPr>
          <w:rFonts w:ascii="Times New Roman;serif" w:hAnsi="Times New Roman;serif"/>
          <w:b/>
          <w:i/>
          <w:color w:val="000000"/>
          <w:sz w:val="20"/>
        </w:rPr>
        <w:t>Anti-Dilutive Securities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approximately 0.3 million and 0.4 million securities outstanding, respectively, comprised of stock options, were excluded from the calculation of diluted earnings per common share as they would be anti-dilutive.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approximately 2.7 million and 3.0 million securities outstanding, respectively, comprised of stock options and restricted stock units were excluded from the calculation of diluted earnings per common share as they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16610"/>
                <wp:effectExtent l="0" t="0" r="0" b="0"/>
                <wp:wrapNone/>
                <wp:docPr id="20" name="Frame20"/>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300" w:after="120"/>
        <w:jc w:val="both"/>
        <w:rPr/>
      </w:pPr>
      <w:r>
        <w:rPr>
          <w:rFonts w:ascii="Times New Roman;serif" w:hAnsi="Times New Roman;serif"/>
          <w:b/>
          <w:color w:val="000000"/>
          <w:sz w:val="20"/>
        </w:rPr>
        <w:t>Note 8</w:t>
      </w:r>
      <w:r>
        <w:rPr>
          <w:rFonts w:ascii="Times New Roman;serif" w:hAnsi="Times New Roman;serif"/>
          <w:b/>
          <w:color w:val="000000"/>
          <w:sz w:val="20"/>
          <w:shd w:fill="FFFFFF" w:val="clear"/>
        </w:rPr>
        <w:t>. Goodwill and Intangible Assets</w:t>
      </w:r>
    </w:p>
    <w:p>
      <w:pPr>
        <w:pStyle w:val="TextBody"/>
        <w:bidi w:val="0"/>
        <w:spacing w:lineRule="auto" w:line="288" w:before="12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by operating and reportable segment are as follows (in millions):</w:t>
      </w:r>
    </w:p>
    <w:tbl>
      <w:tblPr>
        <w:tblW w:w="8096" w:type="dxa"/>
        <w:jc w:val="left"/>
        <w:tblInd w:w="0" w:type="dxa"/>
        <w:tblLayout w:type="fixed"/>
        <w:tblCellMar>
          <w:top w:w="28" w:type="dxa"/>
          <w:left w:w="28" w:type="dxa"/>
          <w:bottom w:w="28" w:type="dxa"/>
          <w:right w:w="28" w:type="dxa"/>
        </w:tblCellMar>
      </w:tblPr>
      <w:tblGrid>
        <w:gridCol w:w="1019"/>
        <w:gridCol w:w="898"/>
        <w:gridCol w:w="902"/>
        <w:gridCol w:w="109"/>
        <w:gridCol w:w="109"/>
        <w:gridCol w:w="109"/>
        <w:gridCol w:w="307"/>
        <w:gridCol w:w="872"/>
        <w:gridCol w:w="171"/>
        <w:gridCol w:w="109"/>
        <w:gridCol w:w="109"/>
        <w:gridCol w:w="109"/>
        <w:gridCol w:w="517"/>
        <w:gridCol w:w="1233"/>
        <w:gridCol w:w="290"/>
        <w:gridCol w:w="109"/>
        <w:gridCol w:w="109"/>
        <w:gridCol w:w="109"/>
        <w:gridCol w:w="196"/>
        <w:gridCol w:w="556"/>
        <w:gridCol w:w="154"/>
      </w:tblGrid>
      <w:tr>
        <w:trPr/>
        <w:tc>
          <w:tcPr>
            <w:tcW w:w="101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Golf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Apparel, Gear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Intangible assets by major asset class are as follows (in millions, except useful life amounts):</w:t>
      </w:r>
    </w:p>
    <w:tbl>
      <w:tblPr>
        <w:tblW w:w="10205" w:type="dxa"/>
        <w:jc w:val="left"/>
        <w:tblInd w:w="0" w:type="dxa"/>
        <w:tblLayout w:type="fixed"/>
        <w:tblCellMar>
          <w:top w:w="28" w:type="dxa"/>
          <w:left w:w="28" w:type="dxa"/>
          <w:bottom w:w="28" w:type="dxa"/>
          <w:right w:w="28" w:type="dxa"/>
        </w:tblCellMar>
      </w:tblPr>
      <w:tblGrid>
        <w:gridCol w:w="836"/>
        <w:gridCol w:w="561"/>
        <w:gridCol w:w="567"/>
        <w:gridCol w:w="417"/>
        <w:gridCol w:w="1186"/>
        <w:gridCol w:w="234"/>
        <w:gridCol w:w="109"/>
        <w:gridCol w:w="109"/>
        <w:gridCol w:w="109"/>
        <w:gridCol w:w="196"/>
        <w:gridCol w:w="466"/>
        <w:gridCol w:w="109"/>
        <w:gridCol w:w="109"/>
        <w:gridCol w:w="109"/>
        <w:gridCol w:w="109"/>
        <w:gridCol w:w="616"/>
        <w:gridCol w:w="1471"/>
        <w:gridCol w:w="346"/>
        <w:gridCol w:w="109"/>
        <w:gridCol w:w="109"/>
        <w:gridCol w:w="109"/>
        <w:gridCol w:w="196"/>
        <w:gridCol w:w="556"/>
        <w:gridCol w:w="109"/>
        <w:gridCol w:w="109"/>
        <w:gridCol w:w="109"/>
        <w:gridCol w:w="109"/>
        <w:gridCol w:w="109"/>
        <w:gridCol w:w="109"/>
        <w:gridCol w:w="109"/>
        <w:gridCol w:w="109"/>
        <w:gridCol w:w="109"/>
        <w:gridCol w:w="109"/>
        <w:gridCol w:w="109"/>
        <w:gridCol w:w="109"/>
        <w:gridCol w:w="159"/>
      </w:tblGrid>
      <w:tr>
        <w:trPr/>
        <w:tc>
          <w:tcPr>
            <w:tcW w:w="8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Indefinite-lived: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Amortizing:</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0" w:type="dxa"/>
            <w:gridSpan w:val="10"/>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Trade names and Trademarks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Patents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Customer/ Distributor Relationships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Useful Life (Years)</w:t>
            </w:r>
          </w:p>
        </w:tc>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as of December 31, 2025</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Disposals</w:t>
            </w:r>
          </w:p>
        </w:tc>
        <w:tc>
          <w:tcPr>
            <w:tcW w:w="1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as of June 30, 2026</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16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1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book value, June 30, 2026</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as of December 31, 2025</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16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and other</w:t>
            </w:r>
          </w:p>
        </w:tc>
        <w:tc>
          <w:tcPr>
            <w:tcW w:w="1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book value, December 31, 2025</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recognized $0.2 million of amortization expense related to acquired intangible assets for each of the three months ended June 30, 2026 and 2025, which is primarily recorded in selling, general and administrative expenses in the condensed consolidated statements of operations. We recognized $0.4 million of amortization expense related to acquired intangible assets for each of the six months ended June 30, 2026 and 2025, which is primarily recorded in selling, general and administrative expenses in the condensed consolidated statements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intangible asset amortization expense is expected to be incurred for the periods presented as follows (in millions):</w:t>
      </w:r>
    </w:p>
    <w:tbl>
      <w:tblPr>
        <w:tblW w:w="2210" w:type="dxa"/>
        <w:jc w:val="left"/>
        <w:tblInd w:w="0" w:type="dxa"/>
        <w:tblLayout w:type="fixed"/>
        <w:tblCellMar>
          <w:top w:w="28" w:type="dxa"/>
          <w:left w:w="28" w:type="dxa"/>
          <w:bottom w:w="28" w:type="dxa"/>
          <w:right w:w="28" w:type="dxa"/>
        </w:tblCellMar>
      </w:tblPr>
      <w:tblGrid>
        <w:gridCol w:w="538"/>
        <w:gridCol w:w="472"/>
        <w:gridCol w:w="474"/>
        <w:gridCol w:w="196"/>
        <w:gridCol w:w="37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16610"/>
                <wp:effectExtent l="0" t="0" r="0" b="0"/>
                <wp:wrapNone/>
                <wp:docPr id="21" name="Frame21"/>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300" w:after="120"/>
        <w:jc w:val="both"/>
        <w:rPr>
          <w:rFonts w:ascii="Times New Roman;serif" w:hAnsi="Times New Roman;serif"/>
          <w:b/>
          <w:color w:val="000000"/>
          <w:sz w:val="20"/>
        </w:rPr>
      </w:pPr>
      <w:r>
        <w:rPr>
          <w:rFonts w:ascii="Times New Roman;serif" w:hAnsi="Times New Roman;serif"/>
          <w:b/>
          <w:color w:val="000000"/>
          <w:sz w:val="20"/>
        </w:rPr>
        <w:t>Note 9. Investments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Investment in Topgolf</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Upon completion of the sale of our 60% ownership interest in Topgolf effective January 1, 2026, we retained a 40% non-controlling interest with an initial value of $248.5 million. The retained investment is accounted for under the equity method and was recorded at fair value using Level 3 inputs based on the equity value of Topgolf which was derived from the transaction price and adjusted for working capital and other transaction specific adjustments. The carrying amount of the investment is subsequently adjusted to reflect our proportionate share of Topgolf’s income or losses and dividends and distributions received. During the second quarter of 2026, Topgolf sold additional dilutive units which decreased our non-controlling interest to 39.3%.</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summarized information for Topgolf for the periods presented (amounts in millions). Amounts presented represent the results of operations of Topgolf and do not represent our proportionate share:</w:t>
      </w:r>
    </w:p>
    <w:tbl>
      <w:tblPr>
        <w:tblW w:w="8744" w:type="dxa"/>
        <w:jc w:val="center"/>
        <w:tblInd w:w="0" w:type="dxa"/>
        <w:tblLayout w:type="fixed"/>
        <w:tblCellMar>
          <w:top w:w="28" w:type="dxa"/>
          <w:left w:w="28" w:type="dxa"/>
          <w:bottom w:w="28" w:type="dxa"/>
          <w:right w:w="28" w:type="dxa"/>
        </w:tblCellMar>
      </w:tblPr>
      <w:tblGrid>
        <w:gridCol w:w="1032"/>
        <w:gridCol w:w="907"/>
        <w:gridCol w:w="910"/>
        <w:gridCol w:w="515"/>
        <w:gridCol w:w="1463"/>
        <w:gridCol w:w="286"/>
        <w:gridCol w:w="109"/>
        <w:gridCol w:w="2071"/>
        <w:gridCol w:w="109"/>
        <w:gridCol w:w="109"/>
        <w:gridCol w:w="109"/>
        <w:gridCol w:w="196"/>
        <w:gridCol w:w="556"/>
        <w:gridCol w:w="109"/>
        <w:gridCol w:w="109"/>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451" w:type="dxa"/>
            <w:gridSpan w:val="8"/>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revenues</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recognized $1.0 million and $28.7 million, respectively, of equity method investment loss for our respective share of Topgolf’s earnings, which is recorded in income (loss) from equity method investments in the condensed consolidated statement of operations. During the second quarter of 2026, we recognized a $6.5 million distribution from Topgolf, of which, $5.6 million was received in cash, which reduced the carrying value of our investment. We classify cash flows from equity method investment distributions using the cumulative earnings approach. Based on this approach, we determined the distribution was a return of investment and it was therefore classified within investing activities in the condensed consolidated statements of cash flows. As of June 30, 2026, the carrying value of our investment in Topgolf was $213.9 million and is included in equity method investments on our condensed consolidated balance sheets.</w:t>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we recognized $2.1 million and $5.3 million, respectively, in net sales for products sold under our commercial agreement with Topgolf. Intra-entity profits on certain sales transactions with Topgolf are eliminated until realized by the Company. As of June 30, 2026, we had $1.6 million in open receivables due from Topgolf related to product sales and services under the commercial and transition service agreements.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Investment in Full Swing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have an ownership interest of less than 20.0% in Full Swing Golf Holdings, LLC (“Full Swing”), owners of multi-sport indoor virtualization and simulation technology. The initial investment is accounted for at cost and is subsequently adjusted for observable changes in fair value or impairments. As of both June 30, 2026 and December 31, 2025, the carrying value of our investment in Full Swing was $9.3 million, and is included in other assets, net on our condensed consolidated balance sheets.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July 6, 2026, it was announced that Full Swing has entered into a definitive agreement to sell the business in its entirety to Versant Media Group, Inc. The transaction closed on August 3, 2026, and we received cash proceeds of approximately $24.6 million. Based on the carrying value of our investment as of June 30, 2026, we expect to recognize a gain of approximately $15.3 million in the third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16610"/>
                <wp:effectExtent l="0" t="0" r="0" b="0"/>
                <wp:wrapNone/>
                <wp:docPr id="22" name="Frame22"/>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Investment in Five Iron Golf</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an ownership interest of less than 20.0% in The Range NYC, LLC (“Five Iron Golf”), an urban indoor golf experience company which hosts a golf simulation technology and serves food and beverage. The initial investment is accounted for at cost and is subsequently adjusted for observable changes in fair value or impairments. During the six months ended June 30, 2026, we recognized a $4.6 million fair value step-up in our investment based on Level 3 inputs related to an observable market transaction that occurred during the first quarter of 2026. As of June 30, 2026 and December 31, 2025, the carrying value of our investment in Five Iron Golf was $38.5 million and $33.9 million, respectively, and is included in other assets, net on our condensed consolidated balance sheets.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 xml:space="preserve">Other Investments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investments above, as of June 30, 2026 and December 31, 2025, we had other investments of approximately $5.2 million and $4.4 million, respectively, which are classified in other assets, net on our condensed consolidated balance sheets. The investments are accounted for at cost less impairments and are adjusted for observable changes in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both"/>
        <w:rPr>
          <w:rFonts w:ascii="Times New Roman;serif" w:hAnsi="Times New Roman;serif"/>
          <w:b/>
          <w:color w:val="000000"/>
          <w:sz w:val="20"/>
        </w:rPr>
      </w:pPr>
      <w:r>
        <w:rPr>
          <w:rFonts w:ascii="Times New Roman;serif" w:hAnsi="Times New Roman;serif"/>
          <w:b/>
          <w:color w:val="000000"/>
          <w:sz w:val="20"/>
        </w:rPr>
        <w:t>Note 10. Selected Financial Data</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Selected financial data as of the dates presented below is as follows (in millions, except useful life data):</w:t>
      </w:r>
    </w:p>
    <w:tbl>
      <w:tblPr>
        <w:tblW w:w="8287" w:type="dxa"/>
        <w:jc w:val="left"/>
        <w:tblInd w:w="0" w:type="dxa"/>
        <w:tblLayout w:type="fixed"/>
        <w:tblCellMar>
          <w:top w:w="28" w:type="dxa"/>
          <w:left w:w="28" w:type="dxa"/>
          <w:bottom w:w="28" w:type="dxa"/>
          <w:right w:w="28" w:type="dxa"/>
        </w:tblCellMar>
      </w:tblPr>
      <w:tblGrid>
        <w:gridCol w:w="1199"/>
        <w:gridCol w:w="1054"/>
        <w:gridCol w:w="1061"/>
        <w:gridCol w:w="549"/>
        <w:gridCol w:w="549"/>
        <w:gridCol w:w="551"/>
        <w:gridCol w:w="109"/>
        <w:gridCol w:w="109"/>
        <w:gridCol w:w="109"/>
        <w:gridCol w:w="256"/>
        <w:gridCol w:w="727"/>
        <w:gridCol w:w="142"/>
        <w:gridCol w:w="109"/>
        <w:gridCol w:w="109"/>
        <w:gridCol w:w="109"/>
        <w:gridCol w:w="334"/>
        <w:gridCol w:w="949"/>
        <w:gridCol w:w="262"/>
      </w:tblGrid>
      <w:tr>
        <w:trPr/>
        <w:tc>
          <w:tcPr>
            <w:tcW w:w="119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Inventories: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current assets: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and other receivables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return reserve cost recovery asset</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current assets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leasehold improvements</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3 - 30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3 - 15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computer hardware and equipment</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Internal-use software</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3 - 5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molds</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Construction-in-process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 gross</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 net</w:t>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4973"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and 2025, we recorded total depreciation expense of $9.3 million and $11.0 million, respectively, in our condensed consolidated statements of operations. For the six months ended June 30, 2026 and 2025, we recorded total depreciation expense of $19.9 million and $22.5 million, respectively, in our condensed consolidated statements of operations. Depreciation expense is recognized in cost of sales, research and development expense, and selling, general and administrative expense on the condensed consolidated statement of operations, consistent with the use of the underlying asset.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16610"/>
                <wp:effectExtent l="0" t="0" r="0" b="0"/>
                <wp:wrapNone/>
                <wp:docPr id="23" name="Frame23"/>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6295" w:type="dxa"/>
        <w:jc w:val="left"/>
        <w:tblInd w:w="0" w:type="dxa"/>
        <w:tblLayout w:type="fixed"/>
        <w:tblCellMar>
          <w:top w:w="28" w:type="dxa"/>
          <w:left w:w="28" w:type="dxa"/>
          <w:bottom w:w="28" w:type="dxa"/>
          <w:right w:w="28" w:type="dxa"/>
        </w:tblCellMar>
      </w:tblPr>
      <w:tblGrid>
        <w:gridCol w:w="1194"/>
        <w:gridCol w:w="1051"/>
        <w:gridCol w:w="1054"/>
        <w:gridCol w:w="256"/>
        <w:gridCol w:w="727"/>
        <w:gridCol w:w="142"/>
        <w:gridCol w:w="109"/>
        <w:gridCol w:w="109"/>
        <w:gridCol w:w="109"/>
        <w:gridCol w:w="334"/>
        <w:gridCol w:w="948"/>
        <w:gridCol w:w="262"/>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Accounts payable and accrued expenses: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inventory</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accounts payable and accrued expenses</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2996" w:type="dxa"/>
            <w:gridSpan w:val="9"/>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both"/>
        <w:rPr>
          <w:rFonts w:ascii="Times New Roman;serif" w:hAnsi="Times New Roman;serif"/>
          <w:b/>
          <w:color w:val="000000"/>
          <w:sz w:val="20"/>
        </w:rPr>
      </w:pPr>
      <w:r>
        <w:rPr>
          <w:rFonts w:ascii="Times New Roman;serif" w:hAnsi="Times New Roman;serif"/>
          <w:b/>
          <w:color w:val="000000"/>
          <w:sz w:val="20"/>
        </w:rPr>
        <w:t>Note 11. Income Taxes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calculate our interim income tax provision in accordance with ASC Topic 270, “Interim Reporting,” and ASC Topic 740, “Accounting for Income Taxes.” At the end of each interim period, we estimate our annual effective tax rate and apply that rate to our ordinary quarterly earnings to calculate the tax related to ordinary income. The tax effects for other items that are excluded from ordinary income are discretely calculated and recognized in the period in which they occur.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recorded an income tax provision of $34.8 million and $13.1 million for the three months ended June 30, 2026 and 2025, respectively. As a percentage of pre-tax income, our effective tax rate was 31.5% and 22.4% for the three months ended June 30, 2026 and 2025, respectively. For the three months ended June 30, 2026, the difference between the statutory tax rate and the effective tax rate is primarily due to the impacts of valuation allowances related to our investment in Topgolf, as well as our global mix of earnings. For the three months ended June 30, 2025, the difference between the statutory tax rate and the effective tax rate is primarily due to minimum taxes on our foreign earnings and discrete tax adjustments related to share-based compensation.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recorded an income tax provision of $67.5 million and $40.3 million for the six months ended June 30, 2026 and 2025, respectively. As a percentage of pre-tax income, our effective tax rate was 30.9% and 27.0% for the six months ended June 30, 2026 and 2025, respectively. For the six months ended June 30, 2026, the difference between the statutory tax rate and the effective tax rate is primarily due to the impacts of valuation allowances related to our investment in Topgolf, as well as our global mix of earnings. For the six months ended June 30, 2025, the difference between the statutory tax rate and the effective tax rate is primarily due to minimum taxes on our foreign earnings and discrete tax adjustments related to share-based compensation.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 gross liability for income taxes associated with uncertain tax positions was $18.8 million. Of this amount, $10.3 million would benefit our condensed consolidated financial statements and effective income tax rate if favorably settled. We recognize interest and penalties related to income tax matters in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Note 12. Commitments &amp; Contingencies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are subject to routine legal claims, proceedings, and investigations associated with the normal conduct of our business activities, including commercial disputes and employment matters. We also receive from time-to-time information claiming that products we sell infringe or may infringe patent, trademark, or other intellectual property rights of third parties. One or more such claims of potential infringement could lead to litigation, the need to obtain licenses, the need to alter a product to avoid infringement, a settlement or judgment, or some other action or material loss, which could adversely affect our overall ability to protect our product designs and ultimately limit our future success in the marketplace. Additionally, we are occasionally subject to non-routine claims, proceedings, or investigations.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regularly assess such matters to determine the degree of probability that we will incur a material loss as a result of such matters, as well as the range of possible loss. An estimated loss contingency is accrued in our financial statements if it is probable we will incur a loss, and the amount of the loss can be reasonably estimated. Historically, the claims, proceedings, and investigations brought against us, individually and in the aggregate, have not had a material adverse effect on our </w:t>
      </w:r>
      <w:r>
        <w:rPr>
          <w:rFonts w:ascii="Times New Roman;serif" w:hAnsi="Times New Roman;serif"/>
          <w:b w:val="false"/>
          <w:color w:val="000000"/>
          <w:sz w:val="20"/>
          <w:shd w:fill="FFFFFF" w:val="clear"/>
        </w:rPr>
        <w:t xml:space="preserve">condensed </w:t>
      </w:r>
      <w:r>
        <w:rPr>
          <w:rFonts w:ascii="Times New Roman;serif" w:hAnsi="Times New Roman;serif"/>
          <w:b w:val="false"/>
          <w:color w:val="000000"/>
          <w:sz w:val="20"/>
        </w:rPr>
        <w:t xml:space="preserve">consolidated results of operations, cash flows or financial position. While it is not possible to predict the outcome of the pending actions, and, as with any litigation, it is possible that some of these actions could be decided unfavorably, we do not believe that the matters currently pending against us will have a material adverse effect on our business, </w:t>
      </w:r>
      <w:r>
        <w:rPr>
          <w:rFonts w:ascii="Times New Roman;serif" w:hAnsi="Times New Roman;serif"/>
          <w:b w:val="false"/>
          <w:color w:val="000000"/>
          <w:sz w:val="20"/>
          <w:shd w:fill="FFFFFF" w:val="clear"/>
        </w:rPr>
        <w:t xml:space="preserve">condensed </w:t>
      </w:r>
      <w:r>
        <w:rPr>
          <w:rFonts w:ascii="Times New Roman;serif" w:hAnsi="Times New Roman;serif"/>
          <w:b w:val="false"/>
          <w:color w:val="000000"/>
          <w:sz w:val="20"/>
        </w:rPr>
        <w:t>consolidated results of operations, cash flows or financial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16610"/>
                <wp:effectExtent l="0" t="0" r="0" b="0"/>
                <wp:wrapNone/>
                <wp:docPr id="24" name="Frame24"/>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normal course of our business, we enter into agreements to purchase goods and services, including commitments for endorsement agreements with professional athletes and other endorsers, consulting and service agreements, intellectual property licensing agreements pursuant to which we are required to pay royalty fees, and signed retail lease agreements of which we have not taken possession as of period-end. The amounts listed below approximate the minimum future commitments we are obligated to pay under these agreements. The actual amounts paid under some of the agreements may be higher or lower than these amounts due to the variable nature of these obligations.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of June 30, 2026, the minimum obligation we are required to pay under these agreements over the next five years and thereafter is as follows (in millions):</w:t>
      </w:r>
    </w:p>
    <w:tbl>
      <w:tblPr>
        <w:tblW w:w="2300" w:type="dxa"/>
        <w:jc w:val="left"/>
        <w:tblInd w:w="0" w:type="dxa"/>
        <w:tblLayout w:type="fixed"/>
        <w:tblCellMar>
          <w:top w:w="28" w:type="dxa"/>
          <w:left w:w="28" w:type="dxa"/>
          <w:bottom w:w="28" w:type="dxa"/>
          <w:right w:w="28" w:type="dxa"/>
        </w:tblCellMar>
      </w:tblPr>
      <w:tblGrid>
        <w:gridCol w:w="538"/>
        <w:gridCol w:w="472"/>
        <w:gridCol w:w="474"/>
        <w:gridCol w:w="196"/>
        <w:gridCol w:w="46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Other Contingent Contractual Obligations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normal course of business, we have made certain indemnities, commitments and guarantees under which we may be required to make payments in relation to certain transactions. The duration of these indemnities, commitments and guarantees varies, and in certain cases, may be indefinite and the majority of these indemnities, commitments and guarantees do not provide for any limitation on the maximum amount of future payments we could be obligated to make. Historically, costs incurred to settle claims related to indemnities have not been material to our financial position, results of operations or cash flows. In addition, we believe the likelihood is remote that payments under the commitments and guarantees described above will have a material effect on our condensed consolidated financial statements. The fair value of indemnities, commitments and guarantees that we issued during the three and six months ended, and as of June 30, 2026, were not material to our financial position, results of operations or cash flows.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also made certain indemnities under which we may be required to make payments in relation to divestitures of the Topgolf and Jack Wolfskin businesses. These include indemnities against (i) damages arising from certain ongoing litigation matters, (ii) certain exempted claims and (iii) certain pre-closing tax and other liabilities. As of June 30, 2026, we have $3.4 million of indemnities recorded related to the disposals of our businesses (see Note 3), which are reported in other long-term liabilities on the condensed consolidated balance sheet.</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Tariff Refunds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February 20, 2026, the U.S. Supreme Court ruled that certain tariffs previously imposed under the International Emergency Economic Powers Act (“IEEPA”) were unauthorized by statute. In March 2026, the U.S. Court of International Trade issued an order directing U.S. Customs and Border Protection (“CBP”) to begin processing refunds of certain IEEPA tariffs. As a result, we filed approximately $49.5 million of refund claims related to previously paid IEEPA tariffs, subject to applicable eligibility, filing, and recovery requirements. These claims were submitted through the CBP phased refund process.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account for potential recoveries related to these tariff refund claims under the gain contingency guidance in ASC 450 and recognize refunds only when they are deemed realizable. The principal portion of the refunds will be reflected as a reduction of cost of sales for amounts related to goods already sold and any associated interest income received on the tariff refunds will be recognized within interest income (expense), net in the condensed consolidated statements of operations. During the second quarter of 2026, we recognized $10.8 million of tariff refunds attributable to approved Phase 1 claims that were determined to be realizable, which was recorded as a reduction of cost of sales. Any related interest was immaterial.</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June 30, 2026, we received cash for $6.7 million of approved tariff refunds related to Phase 2 claims. As these refunds were not deemed realizable as of June 30, 2026, they will be recognized in the third quarter of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16610"/>
                <wp:effectExtent l="0" t="0" r="0" b="0"/>
                <wp:wrapNone/>
                <wp:docPr id="25" name="Frame25"/>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ultimate amount, if any, and timing of additional recoveries remain subject to ongoing legal, regulatory, and administrative proceedings, and we will recognize additional tariff refunds when the applicable recognition criteria have been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 xml:space="preserve">Note 13. Share-Based Compensation </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Share-Based Awards Granted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granted the following awards under our stock compensation plans during the periods presented (in millions, except per share data):</w:t>
      </w:r>
    </w:p>
    <w:tbl>
      <w:tblPr>
        <w:tblW w:w="11052" w:type="dxa"/>
        <w:jc w:val="left"/>
        <w:tblInd w:w="0" w:type="dxa"/>
        <w:tblLayout w:type="fixed"/>
        <w:tblCellMar>
          <w:top w:w="28" w:type="dxa"/>
          <w:left w:w="28" w:type="dxa"/>
          <w:bottom w:w="28" w:type="dxa"/>
          <w:right w:w="28" w:type="dxa"/>
        </w:tblCellMar>
      </w:tblPr>
      <w:tblGrid>
        <w:gridCol w:w="494"/>
        <w:gridCol w:w="263"/>
        <w:gridCol w:w="264"/>
        <w:gridCol w:w="109"/>
        <w:gridCol w:w="109"/>
        <w:gridCol w:w="109"/>
        <w:gridCol w:w="240"/>
        <w:gridCol w:w="240"/>
        <w:gridCol w:w="241"/>
        <w:gridCol w:w="328"/>
        <w:gridCol w:w="930"/>
        <w:gridCol w:w="183"/>
        <w:gridCol w:w="109"/>
        <w:gridCol w:w="109"/>
        <w:gridCol w:w="109"/>
        <w:gridCol w:w="240"/>
        <w:gridCol w:w="240"/>
        <w:gridCol w:w="241"/>
        <w:gridCol w:w="366"/>
        <w:gridCol w:w="870"/>
        <w:gridCol w:w="205"/>
        <w:gridCol w:w="109"/>
        <w:gridCol w:w="109"/>
        <w:gridCol w:w="109"/>
        <w:gridCol w:w="240"/>
        <w:gridCol w:w="240"/>
        <w:gridCol w:w="241"/>
        <w:gridCol w:w="328"/>
        <w:gridCol w:w="930"/>
        <w:gridCol w:w="183"/>
        <w:gridCol w:w="109"/>
        <w:gridCol w:w="109"/>
        <w:gridCol w:w="109"/>
        <w:gridCol w:w="250"/>
        <w:gridCol w:w="250"/>
        <w:gridCol w:w="251"/>
        <w:gridCol w:w="356"/>
        <w:gridCol w:w="848"/>
        <w:gridCol w:w="282"/>
      </w:tblGrid>
      <w:tr>
        <w:trPr/>
        <w:tc>
          <w:tcPr>
            <w:tcW w:w="49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Granted</w:t>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Granted</w:t>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Granted</w:t>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Shares Granted</w:t>
            </w:r>
            <w:r>
              <w:rPr>
                <w:rFonts w:ascii="Times New Roman;serif" w:hAnsi="Times New Roman;serif"/>
                <w:b/>
                <w:color w:val="000000"/>
                <w:sz w:val="10"/>
              </w:rPr>
              <w:t>(1)</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Performance based restricted share unit awards</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2" w:type="dxa"/>
            <w:gridSpan w:val="39"/>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6"/>
              </w:rPr>
              <w:t>Shares granted during fiscal year 2025 include awards granted to employees of our discontinued operations which will continue to vest in accordance with the original terms of the respective awards.</w:t>
            </w:r>
          </w:p>
        </w:tc>
      </w:tr>
      <w:tr>
        <w:trPr/>
        <w:tc>
          <w:tcPr>
            <w:tcW w:w="11052" w:type="dxa"/>
            <w:gridSpan w:val="39"/>
            <w:tcBorders/>
            <w:tcMar>
              <w:top w:w="0" w:type="dxa"/>
              <w:left w:w="0" w:type="dxa"/>
              <w:bottom w:w="0" w:type="dxa"/>
              <w:right w:w="0" w:type="dxa"/>
            </w:tcMar>
            <w:vAlign w:val="center"/>
          </w:tcPr>
          <w:p>
            <w:pPr>
              <w:pStyle w:val="TableContents"/>
              <w:bidi w:val="0"/>
              <w:spacing w:lineRule="auto" w:line="240" w:before="0" w:after="40"/>
              <w:ind w:left="0" w:right="0" w:hanging="180"/>
              <w:jc w:val="left"/>
              <w:rPr/>
            </w:pPr>
            <w:r>
              <w:rPr>
                <w:rFonts w:ascii="Times New Roman;serif" w:hAnsi="Times New Roman;serif"/>
                <w:b w:val="false"/>
                <w:color w:val="000000"/>
                <w:sz w:val="12"/>
              </w:rPr>
              <w:t xml:space="preserve">(2) </w:t>
            </w:r>
            <w:r>
              <w:rPr>
                <w:rFonts w:ascii="Times New Roman;serif" w:hAnsi="Times New Roman;serif"/>
                <w:b w:val="false"/>
                <w:color w:val="000000"/>
                <w:sz w:val="16"/>
              </w:rPr>
              <w:t>Weighted-average grant date fair value per share determined using Monte-Carlo valuation method.</w:t>
            </w:r>
          </w:p>
        </w:tc>
      </w:tr>
    </w:tbl>
    <w:p>
      <w:pPr>
        <w:pStyle w:val="TextBody"/>
        <w:bidi w:val="0"/>
        <w:spacing w:lineRule="auto" w:line="288" w:before="18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Share-based compensation expense by award-type, net of estimated forfeitures, recognized in the condensed consolidated statement of operations for the periods presented was (in millions):</w:t>
      </w:r>
    </w:p>
    <w:tbl>
      <w:tblPr>
        <w:tblW w:w="8523" w:type="dxa"/>
        <w:jc w:val="left"/>
        <w:tblInd w:w="0" w:type="dxa"/>
        <w:tblLayout w:type="fixed"/>
        <w:tblCellMar>
          <w:top w:w="28" w:type="dxa"/>
          <w:left w:w="28" w:type="dxa"/>
          <w:bottom w:w="28" w:type="dxa"/>
          <w:right w:w="28" w:type="dxa"/>
        </w:tblCellMar>
      </w:tblPr>
      <w:tblGrid>
        <w:gridCol w:w="1266"/>
        <w:gridCol w:w="1112"/>
        <w:gridCol w:w="1116"/>
        <w:gridCol w:w="109"/>
        <w:gridCol w:w="109"/>
        <w:gridCol w:w="109"/>
        <w:gridCol w:w="262"/>
        <w:gridCol w:w="504"/>
        <w:gridCol w:w="146"/>
        <w:gridCol w:w="146"/>
        <w:gridCol w:w="146"/>
        <w:gridCol w:w="146"/>
        <w:gridCol w:w="262"/>
        <w:gridCol w:w="504"/>
        <w:gridCol w:w="146"/>
        <w:gridCol w:w="109"/>
        <w:gridCol w:w="109"/>
        <w:gridCol w:w="109"/>
        <w:gridCol w:w="239"/>
        <w:gridCol w:w="458"/>
        <w:gridCol w:w="133"/>
        <w:gridCol w:w="133"/>
        <w:gridCol w:w="133"/>
        <w:gridCol w:w="133"/>
        <w:gridCol w:w="239"/>
        <w:gridCol w:w="458"/>
        <w:gridCol w:w="187"/>
      </w:tblGrid>
      <w:tr>
        <w:trPr/>
        <w:tc>
          <w:tcPr>
            <w:tcW w:w="126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Performance based restricted share unit awards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after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Share-based compensation, net of estimated forfeitures, recognized in the condensed consolidated statement of operations for the periods presented was (in millions):</w:t>
      </w:r>
    </w:p>
    <w:tbl>
      <w:tblPr>
        <w:tblW w:w="8449" w:type="dxa"/>
        <w:jc w:val="left"/>
        <w:tblInd w:w="0" w:type="dxa"/>
        <w:tblLayout w:type="fixed"/>
        <w:tblCellMar>
          <w:top w:w="28" w:type="dxa"/>
          <w:left w:w="28" w:type="dxa"/>
          <w:bottom w:w="28" w:type="dxa"/>
          <w:right w:w="28" w:type="dxa"/>
        </w:tblCellMar>
      </w:tblPr>
      <w:tblGrid>
        <w:gridCol w:w="1231"/>
        <w:gridCol w:w="1084"/>
        <w:gridCol w:w="1105"/>
        <w:gridCol w:w="109"/>
        <w:gridCol w:w="109"/>
        <w:gridCol w:w="109"/>
        <w:gridCol w:w="262"/>
        <w:gridCol w:w="504"/>
        <w:gridCol w:w="146"/>
        <w:gridCol w:w="146"/>
        <w:gridCol w:w="146"/>
        <w:gridCol w:w="146"/>
        <w:gridCol w:w="262"/>
        <w:gridCol w:w="504"/>
        <w:gridCol w:w="146"/>
        <w:gridCol w:w="109"/>
        <w:gridCol w:w="109"/>
        <w:gridCol w:w="109"/>
        <w:gridCol w:w="239"/>
        <w:gridCol w:w="458"/>
        <w:gridCol w:w="133"/>
        <w:gridCol w:w="133"/>
        <w:gridCol w:w="133"/>
        <w:gridCol w:w="133"/>
        <w:gridCol w:w="239"/>
        <w:gridCol w:w="458"/>
        <w:gridCol w:w="187"/>
      </w:tblGrid>
      <w:tr>
        <w:trPr/>
        <w:tc>
          <w:tcPr>
            <w:tcW w:w="123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after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16610"/>
                <wp:effectExtent l="0" t="0" r="0" b="0"/>
                <wp:wrapNone/>
                <wp:docPr id="26" name="Frame26"/>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Note 14. Fair Value of Financial Instruments</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carrying amounts of our cash and cash equivalents (which include money market funds), accounts receivable, accounts payable, accrued expenses, and certain other short</w:t>
        <w:noBreakHyphen/>
        <w:t>term assets and liabilities approximate fair value due to their short</w:t>
        <w:noBreakHyphen/>
        <w:t>term nature.</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Money Market Funds</w:t>
      </w:r>
    </w:p>
    <w:p>
      <w:pPr>
        <w:pStyle w:val="TextBody"/>
        <w:bidi w:val="0"/>
        <w:spacing w:lineRule="auto" w:line="288" w:before="120" w:after="283"/>
        <w:ind w:left="0" w:right="0" w:firstLine="630"/>
        <w:jc w:val="both"/>
        <w:rPr/>
      </w:pPr>
      <w:r>
        <w:rPr>
          <w:rFonts w:ascii="Times New Roman;serif" w:hAnsi="Times New Roman;serif"/>
          <w:b w:val="false"/>
          <w:color w:val="000000"/>
          <w:sz w:val="20"/>
        </w:rPr>
        <w:t>As of June 30, 2026 and December 31, 2025, the carrying value of our money market funds was</w:t>
      </w:r>
      <w:r>
        <w:rPr>
          <w:color w:val="000000"/>
          <w:shd w:fill="FFFFFF" w:val="clear"/>
        </w:rPr>
        <w:t xml:space="preserve"> </w:t>
      </w:r>
      <w:r>
        <w:rPr>
          <w:rFonts w:ascii="Times New Roman;serif" w:hAnsi="Times New Roman;serif"/>
          <w:b w:val="false"/>
          <w:color w:val="000000"/>
          <w:sz w:val="20"/>
          <w:shd w:fill="FFFFFF" w:val="clear"/>
        </w:rPr>
        <w:t>$199.5 million</w:t>
      </w:r>
      <w:r>
        <w:rPr>
          <w:color w:val="000000"/>
        </w:rPr>
        <w:t xml:space="preserve"> </w:t>
      </w:r>
      <w:r>
        <w:rPr>
          <w:rFonts w:ascii="Times New Roman;serif" w:hAnsi="Times New Roman;serif"/>
          <w:b w:val="false"/>
          <w:color w:val="000000"/>
          <w:sz w:val="20"/>
        </w:rPr>
        <w:t>and $791.7 million, respectively, which is included in cash and cash equivalents on our condensed consolidated balance sheets.</w:t>
      </w:r>
      <w:r>
        <w:rPr>
          <w:color w:val="000000"/>
          <w:shd w:fill="FFFFFF" w:val="clear"/>
        </w:rPr>
        <w:t xml:space="preserve"> </w:t>
      </w:r>
      <w:r>
        <w:rPr>
          <w:rFonts w:ascii="Times New Roman;serif" w:hAnsi="Times New Roman;serif"/>
          <w:b w:val="false"/>
          <w:color w:val="000000"/>
          <w:sz w:val="20"/>
        </w:rPr>
        <w:t xml:space="preserve">During the three months ended June 30, 2026 and June 30, 2025, we recognized </w:t>
      </w:r>
      <w:r>
        <w:rPr>
          <w:rFonts w:ascii="Times New Roman;serif" w:hAnsi="Times New Roman;serif"/>
          <w:b w:val="false"/>
          <w:color w:val="000000"/>
          <w:sz w:val="20"/>
          <w:shd w:fill="FFFFFF" w:val="clear"/>
        </w:rPr>
        <w:t xml:space="preserve">$2.1 million and $2.9 million, respectively, of dividend income on our money market funds. </w:t>
      </w:r>
      <w:r>
        <w:rPr>
          <w:rFonts w:ascii="Times New Roman;serif" w:hAnsi="Times New Roman;serif"/>
          <w:b w:val="false"/>
          <w:color w:val="000000"/>
          <w:sz w:val="20"/>
        </w:rPr>
        <w:t xml:space="preserve">During the six months ended June 30, 2026 and June 30, 2025, we recognized </w:t>
      </w:r>
      <w:r>
        <w:rPr>
          <w:rFonts w:ascii="Times New Roman;serif" w:hAnsi="Times New Roman;serif"/>
          <w:b w:val="false"/>
          <w:color w:val="000000"/>
          <w:sz w:val="20"/>
          <w:shd w:fill="FFFFFF" w:val="clear"/>
        </w:rPr>
        <w:t xml:space="preserve">$6.7 million and $5.4 million, respectively, of dividend income on our money market funds. </w:t>
      </w:r>
      <w:r>
        <w:rPr>
          <w:rFonts w:ascii="Times New Roman;serif" w:hAnsi="Times New Roman;serif"/>
          <w:b w:val="false"/>
          <w:color w:val="000000"/>
          <w:sz w:val="20"/>
        </w:rPr>
        <w:t>Dividend income is included in other income (expense), net in the condensed consolidated statements of operations.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Foreign Currency Forward Contracts</w:t>
      </w:r>
    </w:p>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valuation of our foreign currency forward contracts (see Note 15) that are measured at fair value on a recurring basis and are categorized within Level 2 of the fair value hierarchy as of the periods presented below (in millions):</w:t>
      </w:r>
    </w:p>
    <w:tbl>
      <w:tblPr>
        <w:tblW w:w="6097" w:type="dxa"/>
        <w:jc w:val="left"/>
        <w:tblInd w:w="0" w:type="dxa"/>
        <w:tblLayout w:type="fixed"/>
        <w:tblCellMar>
          <w:top w:w="28" w:type="dxa"/>
          <w:left w:w="28" w:type="dxa"/>
          <w:bottom w:w="28" w:type="dxa"/>
          <w:right w:w="28" w:type="dxa"/>
        </w:tblCellMar>
      </w:tblPr>
      <w:tblGrid>
        <w:gridCol w:w="1422"/>
        <w:gridCol w:w="1252"/>
        <w:gridCol w:w="1270"/>
        <w:gridCol w:w="109"/>
        <w:gridCol w:w="109"/>
        <w:gridCol w:w="109"/>
        <w:gridCol w:w="109"/>
        <w:gridCol w:w="377"/>
        <w:gridCol w:w="868"/>
        <w:gridCol w:w="209"/>
        <w:gridCol w:w="109"/>
        <w:gridCol w:w="154"/>
      </w:tblGrid>
      <w:tr>
        <w:trPr/>
        <w:tc>
          <w:tcPr>
            <w:tcW w:w="142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 Fair Value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contracts—asset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contracts—liability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contracts—asset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contracts—liability position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There were no transfers of financial instruments between the levels of the fair value hierarchy during the three and six months ended June 30, 2026 or 2025.</w:t>
      </w: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Disclosures about the Fair Value of Financial Instruments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information about the fair value of our financial liabilities, and is provided for comparative purposes only relative to the carrying values recognized in the condensed consolidated balance sheets as of the periods presented below (in millions): </w:t>
      </w:r>
    </w:p>
    <w:tbl>
      <w:tblPr>
        <w:tblW w:w="8796" w:type="dxa"/>
        <w:jc w:val="left"/>
        <w:tblInd w:w="0" w:type="dxa"/>
        <w:tblLayout w:type="fixed"/>
        <w:tblCellMar>
          <w:top w:w="28" w:type="dxa"/>
          <w:left w:w="28" w:type="dxa"/>
          <w:bottom w:w="28" w:type="dxa"/>
          <w:right w:w="28" w:type="dxa"/>
        </w:tblCellMar>
      </w:tblPr>
      <w:tblGrid>
        <w:gridCol w:w="864"/>
        <w:gridCol w:w="757"/>
        <w:gridCol w:w="764"/>
        <w:gridCol w:w="504"/>
        <w:gridCol w:w="504"/>
        <w:gridCol w:w="506"/>
        <w:gridCol w:w="109"/>
        <w:gridCol w:w="109"/>
        <w:gridCol w:w="109"/>
        <w:gridCol w:w="198"/>
        <w:gridCol w:w="472"/>
        <w:gridCol w:w="111"/>
        <w:gridCol w:w="109"/>
        <w:gridCol w:w="109"/>
        <w:gridCol w:w="109"/>
        <w:gridCol w:w="196"/>
        <w:gridCol w:w="466"/>
        <w:gridCol w:w="109"/>
        <w:gridCol w:w="109"/>
        <w:gridCol w:w="109"/>
        <w:gridCol w:w="109"/>
        <w:gridCol w:w="196"/>
        <w:gridCol w:w="691"/>
        <w:gridCol w:w="109"/>
        <w:gridCol w:w="109"/>
        <w:gridCol w:w="109"/>
        <w:gridCol w:w="109"/>
        <w:gridCol w:w="196"/>
        <w:gridCol w:w="691"/>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w:t>
              <w:br/>
              <w:t>Value</w:t>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Japan ABL Credit Facility</w:t>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2023 Term Loan B</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Notes</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Non-recurring Fair Value Measurements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measure certain long-lived assets, goodwill, non-amortizing intangible assets and investments at fair value on a non-recurring basis, at least annually or more frequently if impairment indicators are present. Our cost-basis investments are also subject to fair value remeasurements from observable market transactions. For more detail, see Note 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16610"/>
                <wp:effectExtent l="0" t="0" r="0" b="0"/>
                <wp:wrapNone/>
                <wp:docPr id="27" name="Frame27"/>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part of our initiative to rationalize lower margin business, we performed a review of the TravisMathew business including certain warehouse equipment and retail locations. As part of this review, it was decided to exit certain retail locations which did not meet our profitability thresholds, resulting in total impairment charges of $1.8 million recorded during the three and six months ended June 30, 2026. This assessment was based on the estimated future cash flows generated over the remaining lease terms and expected asset lives. As a result, we recognized impairment losses to reduce the carrying values of these assets to their fair values which are categorized within Level 3 of the fair value hierarchy. We recognized $1.4 million of these impairment charges within selling, general and administrative expense and $0.4 million was recognized in cost of sales in our condensed consolidated statement of operations.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We did not recognize any impairments related to continuing operations during the three and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Note 15. Derivatives and Hedging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our derivative instruments as well as the location of the asset and/or liability on the condensed consolidated balance sheets as of the periods presented below (in millions):</w:t>
      </w:r>
    </w:p>
    <w:tbl>
      <w:tblPr>
        <w:tblW w:w="9353" w:type="dxa"/>
        <w:jc w:val="left"/>
        <w:tblInd w:w="0" w:type="dxa"/>
        <w:tblLayout w:type="fixed"/>
        <w:tblCellMar>
          <w:top w:w="28" w:type="dxa"/>
          <w:left w:w="28" w:type="dxa"/>
          <w:bottom w:w="28" w:type="dxa"/>
          <w:right w:w="28" w:type="dxa"/>
        </w:tblCellMar>
      </w:tblPr>
      <w:tblGrid>
        <w:gridCol w:w="1532"/>
        <w:gridCol w:w="1347"/>
        <w:gridCol w:w="1351"/>
        <w:gridCol w:w="599"/>
        <w:gridCol w:w="599"/>
        <w:gridCol w:w="601"/>
        <w:gridCol w:w="109"/>
        <w:gridCol w:w="109"/>
        <w:gridCol w:w="109"/>
        <w:gridCol w:w="324"/>
        <w:gridCol w:w="621"/>
        <w:gridCol w:w="180"/>
        <w:gridCol w:w="109"/>
        <w:gridCol w:w="109"/>
        <w:gridCol w:w="109"/>
        <w:gridCol w:w="417"/>
        <w:gridCol w:w="800"/>
        <w:gridCol w:w="328"/>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423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of </w:t>
              <w:br/>
              <w:t>Asset Derivatives</w:t>
            </w:r>
          </w:p>
        </w:tc>
      </w:tr>
      <w:tr>
        <w:trPr/>
        <w:tc>
          <w:tcPr>
            <w:tcW w:w="4230" w:type="dxa"/>
            <w:gridSpan w:val="3"/>
            <w:vMerge w:val="continue"/>
            <w:tcBorders/>
            <w:tcMar>
              <w:top w:w="0" w:type="dxa"/>
              <w:left w:w="0" w:type="dxa"/>
              <w:bottom w:w="0" w:type="dxa"/>
              <w:right w:w="0" w:type="dxa"/>
            </w:tcMar>
            <w:vAlign w:val="center"/>
          </w:tcPr>
          <w:p>
            <w:pPr>
              <w:pStyle w:val="Normal"/>
              <w:bidi w:val="0"/>
              <w:jc w:val="left"/>
              <w:rPr/>
            </w:pPr>
            <w:r>
              <w:rPr/>
            </w:r>
          </w:p>
        </w:tc>
        <w:tc>
          <w:tcPr>
            <w:tcW w:w="17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cash flow hedging instruments:</w:t>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503" w:type="dxa"/>
        <w:jc w:val="left"/>
        <w:tblInd w:w="0" w:type="dxa"/>
        <w:tblLayout w:type="fixed"/>
        <w:tblCellMar>
          <w:top w:w="28" w:type="dxa"/>
          <w:left w:w="28" w:type="dxa"/>
          <w:bottom w:w="28" w:type="dxa"/>
          <w:right w:w="28" w:type="dxa"/>
        </w:tblCellMar>
      </w:tblPr>
      <w:tblGrid>
        <w:gridCol w:w="951"/>
        <w:gridCol w:w="835"/>
        <w:gridCol w:w="839"/>
        <w:gridCol w:w="1184"/>
        <w:gridCol w:w="1184"/>
        <w:gridCol w:w="1186"/>
        <w:gridCol w:w="109"/>
        <w:gridCol w:w="109"/>
        <w:gridCol w:w="109"/>
        <w:gridCol w:w="324"/>
        <w:gridCol w:w="621"/>
        <w:gridCol w:w="180"/>
        <w:gridCol w:w="109"/>
        <w:gridCol w:w="109"/>
        <w:gridCol w:w="109"/>
        <w:gridCol w:w="417"/>
        <w:gridCol w:w="800"/>
        <w:gridCol w:w="328"/>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62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Value of </w:t>
              <w:br/>
              <w:t>Liability Derivatives</w:t>
            </w:r>
          </w:p>
        </w:tc>
      </w:tr>
      <w:tr>
        <w:trPr/>
        <w:tc>
          <w:tcPr>
            <w:tcW w:w="2625" w:type="dxa"/>
            <w:gridSpan w:val="3"/>
            <w:vMerge w:val="continue"/>
            <w:tcBorders/>
            <w:tcMar>
              <w:top w:w="0" w:type="dxa"/>
              <w:left w:w="0" w:type="dxa"/>
              <w:bottom w:w="0" w:type="dxa"/>
              <w:right w:w="0" w:type="dxa"/>
            </w:tcMar>
            <w:vAlign w:val="center"/>
          </w:tcPr>
          <w:p>
            <w:pPr>
              <w:pStyle w:val="Normal"/>
              <w:bidi w:val="0"/>
              <w:jc w:val="left"/>
              <w:rPr/>
            </w:pPr>
            <w:r>
              <w:rPr/>
            </w:r>
          </w:p>
        </w:tc>
        <w:tc>
          <w:tcPr>
            <w:tcW w:w="355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1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cash flow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3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617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liability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derivative instruments are subject to a master netting agreement with each respective counterparty bank and are therefore net settled at their maturity date. Although we have the legal right of offset under the master netting agreements, we have elected not to present these contracts on a net settlement amount basis, and therefore present these contracts on a gross basis on the accompanying condensed consolidated balance sheets as of June 30, 2026 and December 31, 2025. Gains and losses related to our derivative instruments are presented as an adjustment to reconcile net income to net cash provided by or used in operating activities in the condensed consolidated statements of cash flows.</w:t>
      </w:r>
    </w:p>
    <w:p>
      <w:pPr>
        <w:pStyle w:val="TextBody"/>
        <w:bidi w:val="0"/>
        <w:spacing w:lineRule="auto" w:line="288" w:before="180" w:after="283"/>
        <w:ind w:left="0" w:right="0" w:firstLine="270"/>
        <w:jc w:val="both"/>
        <w:rPr>
          <w:rFonts w:ascii="Times New Roman;serif" w:hAnsi="Times New Roman;serif"/>
          <w:b/>
          <w:color w:val="000000"/>
          <w:sz w:val="20"/>
        </w:rPr>
      </w:pPr>
      <w:r>
        <w:rPr>
          <w:rFonts w:ascii="Times New Roman;serif" w:hAnsi="Times New Roman;serif"/>
          <w:b/>
          <w:color w:val="000000"/>
          <w:sz w:val="20"/>
        </w:rPr>
        <w:t>Derivative Designated as Cash Flow Hedging Instruments</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only use derivative instruments, including foreign currency forward contracts and interest rate swaps, to manage market risks related to foreign currency exposure across our global operations and exposure to variable</w:t>
        <w:noBreakHyphen/>
        <w:t>rate debt.</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the notional amount of our foreign currency forward contracts designated as cash flow hedges was </w:t>
      </w:r>
      <w:r>
        <w:rPr>
          <w:rFonts w:ascii="Times New Roman;serif" w:hAnsi="Times New Roman;serif"/>
          <w:b w:val="false"/>
          <w:color w:val="000000"/>
          <w:sz w:val="20"/>
        </w:rPr>
        <w:t>$73.6 million</w:t>
      </w:r>
      <w:r>
        <w:rPr>
          <w:rFonts w:ascii="Times New Roman;serif" w:hAnsi="Times New Roman;serif"/>
          <w:b w:val="false"/>
          <w:color w:val="000000"/>
          <w:sz w:val="20"/>
          <w:shd w:fill="FFFFFF" w:val="clear"/>
        </w:rPr>
        <w:t xml:space="preserve">. As of </w:t>
      </w:r>
      <w:r>
        <w:rPr>
          <w:rFonts w:ascii="Times New Roman;serif" w:hAnsi="Times New Roman;serif"/>
          <w:b w:val="false"/>
          <w:color w:val="000000"/>
          <w:sz w:val="20"/>
        </w:rPr>
        <w:t xml:space="preserve">December 31, 2025, </w:t>
      </w:r>
      <w:r>
        <w:rPr>
          <w:rFonts w:ascii="Times New Roman;serif" w:hAnsi="Times New Roman;serif"/>
          <w:b w:val="false"/>
          <w:color w:val="000000"/>
          <w:sz w:val="20"/>
          <w:shd w:fill="FFFFFF" w:val="clear"/>
        </w:rPr>
        <w:t xml:space="preserve">there were </w:t>
      </w:r>
      <w:r>
        <w:rPr>
          <w:rFonts w:ascii="Times New Roman;serif" w:hAnsi="Times New Roman;serif"/>
          <w:b w:val="false"/>
          <w:color w:val="000000"/>
          <w:sz w:val="20"/>
        </w:rPr>
        <w:t>no outstanding cash flow hedges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During the fourth quarter of 2025, we closed out our interest rate swaps in connection with an amendment to the 2023 Term Loan B. As of June 30, 2026, w</w:t>
      </w:r>
      <w:r>
        <w:rPr>
          <w:rFonts w:ascii="Times New Roman;serif" w:hAnsi="Times New Roman;serif"/>
          <w:b w:val="false"/>
          <w:color w:val="000000"/>
          <w:sz w:val="20"/>
          <w:shd w:fill="FFFFFF" w:val="clear"/>
        </w:rPr>
        <w:t>e did not have any outstanding interest rate swap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16610"/>
                <wp:effectExtent l="0" t="0" r="0" b="0"/>
                <wp:wrapNone/>
                <wp:docPr id="28" name="Frame28"/>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net effect of all cash flow hedges for each of our derivative contracts on the condensed consolidated financial statements for the periods presented (in millions):</w:t>
      </w:r>
    </w:p>
    <w:tbl>
      <w:tblPr>
        <w:tblW w:w="9312" w:type="dxa"/>
        <w:jc w:val="left"/>
        <w:tblInd w:w="0" w:type="dxa"/>
        <w:tblLayout w:type="fixed"/>
        <w:tblCellMar>
          <w:top w:w="28" w:type="dxa"/>
          <w:left w:w="28" w:type="dxa"/>
          <w:bottom w:w="28" w:type="dxa"/>
          <w:right w:w="28" w:type="dxa"/>
        </w:tblCellMar>
      </w:tblPr>
      <w:tblGrid>
        <w:gridCol w:w="1510"/>
        <w:gridCol w:w="1328"/>
        <w:gridCol w:w="1332"/>
        <w:gridCol w:w="109"/>
        <w:gridCol w:w="109"/>
        <w:gridCol w:w="109"/>
        <w:gridCol w:w="251"/>
        <w:gridCol w:w="483"/>
        <w:gridCol w:w="139"/>
        <w:gridCol w:w="139"/>
        <w:gridCol w:w="139"/>
        <w:gridCol w:w="139"/>
        <w:gridCol w:w="251"/>
        <w:gridCol w:w="579"/>
        <w:gridCol w:w="139"/>
        <w:gridCol w:w="125"/>
        <w:gridCol w:w="125"/>
        <w:gridCol w:w="125"/>
        <w:gridCol w:w="225"/>
        <w:gridCol w:w="432"/>
        <w:gridCol w:w="125"/>
        <w:gridCol w:w="125"/>
        <w:gridCol w:w="125"/>
        <w:gridCol w:w="125"/>
        <w:gridCol w:w="225"/>
        <w:gridCol w:w="622"/>
        <w:gridCol w:w="177"/>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Net Gain/(Loss) Recognized in Other Comprehensive Income </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cash flow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02"/>
        <w:gridCol w:w="881"/>
        <w:gridCol w:w="884"/>
        <w:gridCol w:w="109"/>
        <w:gridCol w:w="109"/>
        <w:gridCol w:w="109"/>
        <w:gridCol w:w="617"/>
        <w:gridCol w:w="617"/>
        <w:gridCol w:w="619"/>
        <w:gridCol w:w="109"/>
        <w:gridCol w:w="109"/>
        <w:gridCol w:w="109"/>
        <w:gridCol w:w="243"/>
        <w:gridCol w:w="534"/>
        <w:gridCol w:w="135"/>
        <w:gridCol w:w="135"/>
        <w:gridCol w:w="135"/>
        <w:gridCol w:w="135"/>
        <w:gridCol w:w="243"/>
        <w:gridCol w:w="534"/>
        <w:gridCol w:w="135"/>
        <w:gridCol w:w="135"/>
        <w:gridCol w:w="135"/>
        <w:gridCol w:w="135"/>
        <w:gridCol w:w="243"/>
        <w:gridCol w:w="534"/>
        <w:gridCol w:w="135"/>
        <w:gridCol w:w="135"/>
        <w:gridCol w:w="135"/>
        <w:gridCol w:w="135"/>
        <w:gridCol w:w="243"/>
        <w:gridCol w:w="534"/>
        <w:gridCol w:w="203"/>
      </w:tblGrid>
      <w:tr>
        <w:trPr/>
        <w:tc>
          <w:tcPr>
            <w:tcW w:w="10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Gain/(Loss) Reclassified from Other Comprehensive Income into Earnings</w:t>
            </w:r>
          </w:p>
        </w:tc>
      </w:tr>
      <w:tr>
        <w:trPr/>
        <w:tc>
          <w:tcPr>
            <w:tcW w:w="2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Derivatives designated as cash flow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three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 and 2025, $0.6 million and $1.5 million, respectively, of net gains</w:t>
      </w:r>
      <w:r>
        <w:rPr>
          <w:color w:val="000000"/>
          <w:shd w:fill="FFFFFF" w:val="clear"/>
        </w:rPr>
        <w:t xml:space="preserve"> </w:t>
      </w:r>
      <w:r>
        <w:rPr>
          <w:rFonts w:ascii="Times New Roman;serif" w:hAnsi="Times New Roman;serif"/>
          <w:b w:val="false"/>
          <w:color w:val="000000"/>
          <w:sz w:val="20"/>
          <w:shd w:fill="FFFFFF" w:val="clear"/>
        </w:rPr>
        <w:t xml:space="preserve">related to the amortization of forward points were released from accumulated other comprehensive income and recognized in cost of sales.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 and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$1.6 million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$0.7 million, respectively, of net gains</w:t>
      </w:r>
      <w:r>
        <w:rPr>
          <w:color w:val="000000"/>
          <w:shd w:fill="FFFFFF" w:val="clear"/>
        </w:rPr>
        <w:t xml:space="preserve"> </w:t>
      </w:r>
      <w:r>
        <w:rPr>
          <w:rFonts w:ascii="Times New Roman;serif" w:hAnsi="Times New Roman;serif"/>
          <w:b w:val="false"/>
          <w:color w:val="000000"/>
          <w:sz w:val="20"/>
          <w:shd w:fill="FFFFFF" w:val="clear"/>
        </w:rPr>
        <w:t>related to the amortization of forward points were released from accumulated other comprehensive income and recognized in cost of sales.</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 xml:space="preserve">Based on the current valuation of our foreign currency forward contracts, we expect to release net gains of </w:t>
      </w:r>
      <w:r>
        <w:rPr>
          <w:rFonts w:ascii="Times New Roman;serif" w:hAnsi="Times New Roman;serif"/>
          <w:b w:val="false"/>
          <w:color w:val="000000"/>
          <w:sz w:val="20"/>
        </w:rPr>
        <w:t>$2.1 million</w:t>
      </w:r>
      <w:r>
        <w:rPr>
          <w:color w:val="000000"/>
          <w:shd w:fill="FFFFFF" w:val="clear"/>
        </w:rPr>
        <w:t xml:space="preserve"> </w:t>
      </w:r>
      <w:r>
        <w:rPr>
          <w:rFonts w:ascii="Times New Roman;serif" w:hAnsi="Times New Roman;serif"/>
          <w:b w:val="false"/>
          <w:color w:val="000000"/>
          <w:sz w:val="20"/>
          <w:shd w:fill="FFFFFF" w:val="clear"/>
        </w:rPr>
        <w:t xml:space="preserve">related to our foreign currency forward contracts from accumulated other comprehensive income into earnings over the next 12 months. </w:t>
      </w:r>
    </w:p>
    <w:p>
      <w:pPr>
        <w:pStyle w:val="TextBody"/>
        <w:bidi w:val="0"/>
        <w:spacing w:lineRule="auto" w:line="288" w:before="120" w:after="283"/>
        <w:ind w:left="0" w:right="0" w:firstLine="270"/>
        <w:jc w:val="both"/>
        <w:rPr>
          <w:rFonts w:ascii="Times New Roman;serif" w:hAnsi="Times New Roman;serif"/>
          <w:b/>
          <w:color w:val="000000"/>
          <w:sz w:val="20"/>
        </w:rPr>
      </w:pPr>
      <w:r>
        <w:rPr>
          <w:rFonts w:ascii="Times New Roman;serif" w:hAnsi="Times New Roman;serif"/>
          <w:b/>
          <w:color w:val="000000"/>
          <w:sz w:val="20"/>
        </w:rPr>
        <w:t>Derivatives Not Designated as Hedging Instruments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notional amounts of our foreign currency forward contracts not designated as cash flow hedges were approximately $164.8 million and $88.4 million, respectively.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location of net gains and losses on foreign currency forward contracts recognized in the condensed consolidated statements of operations for the periods presented (in millions):</w:t>
      </w:r>
    </w:p>
    <w:tbl>
      <w:tblPr>
        <w:tblW w:w="10205" w:type="dxa"/>
        <w:jc w:val="left"/>
        <w:tblInd w:w="0" w:type="dxa"/>
        <w:tblLayout w:type="fixed"/>
        <w:tblCellMar>
          <w:top w:w="28" w:type="dxa"/>
          <w:left w:w="28" w:type="dxa"/>
          <w:bottom w:w="28" w:type="dxa"/>
          <w:right w:w="28" w:type="dxa"/>
        </w:tblCellMar>
      </w:tblPr>
      <w:tblGrid>
        <w:gridCol w:w="968"/>
        <w:gridCol w:w="623"/>
        <w:gridCol w:w="625"/>
        <w:gridCol w:w="109"/>
        <w:gridCol w:w="109"/>
        <w:gridCol w:w="109"/>
        <w:gridCol w:w="1035"/>
        <w:gridCol w:w="1035"/>
        <w:gridCol w:w="1037"/>
        <w:gridCol w:w="109"/>
        <w:gridCol w:w="109"/>
        <w:gridCol w:w="109"/>
        <w:gridCol w:w="211"/>
        <w:gridCol w:w="405"/>
        <w:gridCol w:w="117"/>
        <w:gridCol w:w="117"/>
        <w:gridCol w:w="117"/>
        <w:gridCol w:w="117"/>
        <w:gridCol w:w="211"/>
        <w:gridCol w:w="545"/>
        <w:gridCol w:w="117"/>
        <w:gridCol w:w="109"/>
        <w:gridCol w:w="109"/>
        <w:gridCol w:w="109"/>
        <w:gridCol w:w="203"/>
        <w:gridCol w:w="391"/>
        <w:gridCol w:w="113"/>
        <w:gridCol w:w="113"/>
        <w:gridCol w:w="113"/>
        <w:gridCol w:w="113"/>
        <w:gridCol w:w="203"/>
        <w:gridCol w:w="524"/>
        <w:gridCol w:w="171"/>
      </w:tblGrid>
      <w:tr>
        <w:trPr/>
        <w:tc>
          <w:tcPr>
            <w:tcW w:w="96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Net Gain/(Loss) Recognized in Income on Derivative Instruments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Gain/(Loss) Recognized in Income on </w:t>
              <w:br/>
              <w:t>Derivative Instruments</w:t>
            </w:r>
          </w:p>
        </w:tc>
      </w:tr>
      <w:tr>
        <w:trPr/>
        <w:tc>
          <w:tcPr>
            <w:tcW w:w="2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not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9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450"/>
        <w:jc w:val="both"/>
        <w:rPr/>
      </w:pPr>
      <w:r>
        <w:rPr>
          <w:rFonts w:ascii="Times New Roman;serif" w:hAnsi="Times New Roman;serif"/>
          <w:b w:val="false"/>
          <w:color w:val="000000"/>
          <w:sz w:val="20"/>
        </w:rPr>
        <w:t>During the three months ended June 30, 2026 and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we recognized net foreign currency transactio</w:t>
      </w:r>
      <w:r>
        <w:rPr>
          <w:rFonts w:ascii="Times New Roman;serif" w:hAnsi="Times New Roman;serif"/>
          <w:b w:val="false"/>
          <w:color w:val="000000"/>
          <w:sz w:val="20"/>
          <w:shd w:fill="FFFFFF" w:val="clear"/>
        </w:rPr>
        <w:t xml:space="preserve">n losses of </w:t>
      </w:r>
      <w:r>
        <w:rPr>
          <w:rFonts w:ascii="Times New Roman;serif" w:hAnsi="Times New Roman;serif"/>
          <w:b w:val="false"/>
          <w:color w:val="000000"/>
          <w:sz w:val="20"/>
        </w:rPr>
        <w:t>$2.5 million and gains of $13.4 million, respectively, in other income (expense), net. During the six months ended June 30, 2026 and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we recognized net foreign currency transactio</w:t>
      </w:r>
      <w:r>
        <w:rPr>
          <w:rFonts w:ascii="Times New Roman;serif" w:hAnsi="Times New Roman;serif"/>
          <w:b w:val="false"/>
          <w:color w:val="000000"/>
          <w:sz w:val="20"/>
          <w:shd w:fill="FFFFFF" w:val="clear"/>
        </w:rPr>
        <w:t xml:space="preserve">n losses of </w:t>
      </w:r>
      <w:r>
        <w:rPr>
          <w:rFonts w:ascii="Times New Roman;serif" w:hAnsi="Times New Roman;serif"/>
          <w:b w:val="false"/>
          <w:color w:val="000000"/>
          <w:sz w:val="20"/>
        </w:rPr>
        <w:t xml:space="preserve">$5.8 million and gains of $23.3 million, respectively, in other income (expense), net.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16610"/>
                <wp:effectExtent l="0" t="0" r="0" b="0"/>
                <wp:wrapNone/>
                <wp:docPr id="29" name="Frame29"/>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Note 16. Accumulated Other Comprehensive Loss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amounts reclassified from accumulated other comprehensive loss and foreign currency translation adjustments for the three and six months ended June 30, 2026 (in millions):</w:t>
      </w:r>
    </w:p>
    <w:tbl>
      <w:tblPr>
        <w:tblW w:w="10205" w:type="dxa"/>
        <w:jc w:val="left"/>
        <w:tblInd w:w="0" w:type="dxa"/>
        <w:tblLayout w:type="fixed"/>
        <w:tblCellMar>
          <w:top w:w="28" w:type="dxa"/>
          <w:left w:w="28" w:type="dxa"/>
          <w:bottom w:w="28" w:type="dxa"/>
          <w:right w:w="28" w:type="dxa"/>
        </w:tblCellMar>
      </w:tblPr>
      <w:tblGrid>
        <w:gridCol w:w="1619"/>
        <w:gridCol w:w="1419"/>
        <w:gridCol w:w="1427"/>
        <w:gridCol w:w="109"/>
        <w:gridCol w:w="109"/>
        <w:gridCol w:w="109"/>
        <w:gridCol w:w="487"/>
        <w:gridCol w:w="936"/>
        <w:gridCol w:w="273"/>
        <w:gridCol w:w="109"/>
        <w:gridCol w:w="109"/>
        <w:gridCol w:w="109"/>
        <w:gridCol w:w="540"/>
        <w:gridCol w:w="1329"/>
        <w:gridCol w:w="305"/>
        <w:gridCol w:w="109"/>
        <w:gridCol w:w="109"/>
        <w:gridCol w:w="109"/>
        <w:gridCol w:w="196"/>
        <w:gridCol w:w="535"/>
        <w:gridCol w:w="158"/>
      </w:tblGrid>
      <w:tr>
        <w:trPr/>
        <w:tc>
          <w:tcPr>
            <w:tcW w:w="161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March 31, 2026, after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reclassified to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r>
      <w:tr>
        <w:trPr/>
        <w:tc>
          <w:tcPr>
            <w:tcW w:w="4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impact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loss, June 30, 2026, after tax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778"/>
        <w:gridCol w:w="1559"/>
        <w:gridCol w:w="1567"/>
        <w:gridCol w:w="109"/>
        <w:gridCol w:w="109"/>
        <w:gridCol w:w="109"/>
        <w:gridCol w:w="441"/>
        <w:gridCol w:w="847"/>
        <w:gridCol w:w="247"/>
        <w:gridCol w:w="109"/>
        <w:gridCol w:w="109"/>
        <w:gridCol w:w="109"/>
        <w:gridCol w:w="473"/>
        <w:gridCol w:w="1165"/>
        <w:gridCol w:w="267"/>
        <w:gridCol w:w="109"/>
        <w:gridCol w:w="109"/>
        <w:gridCol w:w="109"/>
        <w:gridCol w:w="196"/>
        <w:gridCol w:w="523"/>
        <w:gridCol w:w="161"/>
      </w:tblGrid>
      <w:tr>
        <w:trPr/>
        <w:tc>
          <w:tcPr>
            <w:tcW w:w="1778"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December 31, 2025, after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reclassified to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impact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foreign currency translation adjustments recognized upon the sale of Topgolf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loss, June 30, 2026, after tax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Note 17. Segment Information</w:t>
      </w:r>
    </w:p>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operating segments are based on how our Chief Executive Officer as the designated Chief Operating Decision Maker (“CODM”) makes decisions about assessing performance and allocating resources. Our CODM primarily evaluates segment performance using segment operating income (loss), which is calculated by taking total segment net sales less segment operating expenses. Segment operating expenses include operating expenses directly attributable to the segment as well as certain shared corporate administration services and other costs which are allocated to the reportable segments. Segment operating expenses exclude certain non-recurring items and other corporate costs, such as interest expense, interest income and taxes. Our CODM evaluates the profitability of each reportable segment based on segment operating income (loss) because it provides insight to operational leverage and other key operational metrics for each segment. Segment operating income (loss) is also used in the annual budget and forecasting process, and budget-to-actual and forecast-to-actual variances are considered when determining the appropriate allocation of company resources to each of our segments. Our CODM does not evaluate a measure of assets when assessing segment performance.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two operating and reportable segments: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Golf Equipment, which is comprised of product sales and expenses that encompass golf club and golf ball products, including Callaway Golf-branded woods, hybrids, irons, wedges, Odyssey putters, packaged sets, Callaway Golf-branded golf balls and sales of pre-owned golf clubs; and</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color w:val="000000"/>
          <w:sz w:val="20"/>
        </w:rPr>
        <w:t>Apparel, Gear and Other</w:t>
      </w:r>
      <w:r>
        <w:rPr>
          <w:rFonts w:ascii="Times New Roman;serif" w:hAnsi="Times New Roman;serif"/>
          <w:b w:val="false"/>
          <w:color w:val="000000"/>
          <w:sz w:val="20"/>
          <w:shd w:fill="FFFFFF" w:val="clear"/>
        </w:rPr>
        <w:t>, which is comprised of product sales and expenses for the TravisMathew golf and lifestyle apparel and accessories business, the Callaway soft goods business and the OGIO business, which consists of golf apparel and accessories (including golf bags), and storage gear for sport and personal use. This segment also includes royalties from licensing of our trademarks and service marks for various soft goods products.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There were no sign</w:t>
      </w:r>
      <w:r>
        <w:rPr>
          <w:rFonts w:ascii="Times New Roman;serif" w:hAnsi="Times New Roman;serif"/>
          <w:b w:val="false"/>
          <w:color w:val="000000"/>
          <w:sz w:val="20"/>
          <w:shd w:fill="FFFFFF" w:val="clear"/>
        </w:rPr>
        <w:t xml:space="preserve">ificant intersegment transactions during the </w:t>
      </w:r>
      <w:r>
        <w:rPr>
          <w:rFonts w:ascii="Times New Roman;serif" w:hAnsi="Times New Roman;serif"/>
          <w:b w:val="false"/>
          <w:color w:val="000000"/>
          <w:sz w:val="20"/>
        </w:rPr>
        <w:t>three and six months ended June 30, 2026 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16610"/>
                <wp:effectExtent l="0" t="0" r="0" b="0"/>
                <wp:wrapNone/>
                <wp:docPr id="30" name="Frame30"/>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information utilized by our CODM to evaluate our operating segments for the periods presented below (in millions):</w:t>
      </w:r>
    </w:p>
    <w:tbl>
      <w:tblPr>
        <w:tblW w:w="10205" w:type="dxa"/>
        <w:jc w:val="left"/>
        <w:tblInd w:w="0" w:type="dxa"/>
        <w:tblLayout w:type="fixed"/>
        <w:tblCellMar>
          <w:top w:w="28" w:type="dxa"/>
          <w:left w:w="28" w:type="dxa"/>
          <w:bottom w:w="28" w:type="dxa"/>
          <w:right w:w="28" w:type="dxa"/>
        </w:tblCellMar>
      </w:tblPr>
      <w:tblGrid>
        <w:gridCol w:w="1424"/>
        <w:gridCol w:w="1142"/>
        <w:gridCol w:w="1150"/>
        <w:gridCol w:w="290"/>
        <w:gridCol w:w="825"/>
        <w:gridCol w:w="161"/>
        <w:gridCol w:w="161"/>
        <w:gridCol w:w="161"/>
        <w:gridCol w:w="161"/>
        <w:gridCol w:w="290"/>
        <w:gridCol w:w="825"/>
        <w:gridCol w:w="161"/>
        <w:gridCol w:w="154"/>
        <w:gridCol w:w="154"/>
        <w:gridCol w:w="154"/>
        <w:gridCol w:w="279"/>
        <w:gridCol w:w="792"/>
        <w:gridCol w:w="155"/>
        <w:gridCol w:w="155"/>
        <w:gridCol w:w="155"/>
        <w:gridCol w:w="155"/>
        <w:gridCol w:w="279"/>
        <w:gridCol w:w="792"/>
        <w:gridCol w:w="230"/>
      </w:tblGrid>
      <w:tr>
        <w:trPr/>
        <w:tc>
          <w:tcPr>
            <w:tcW w:w="142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Golf Equipment:</w:t>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Cost of sales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370.9 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Selling, general and administrative expense</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167.8 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Research and development expense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Apparel, Gear and Other:</w:t>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Cost of sales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Selling, general and administrative expense</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Research and development expense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income from continuing operations</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Reconciling items:</w:t>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Non-recurring items</w:t>
            </w:r>
            <w:r>
              <w:rPr>
                <w:color w:val="000000"/>
              </w:rPr>
              <w:t xml:space="preserve"> </w:t>
            </w:r>
            <w:r>
              <w:rPr>
                <w:rFonts w:ascii="Times New Roman;serif" w:hAnsi="Times New Roman;serif"/>
                <w:b w:val="false"/>
                <w:color w:val="000000"/>
                <w:sz w:val="12"/>
              </w:rPr>
              <w:t>(1)</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Corporate costs and expenses </w:t>
            </w:r>
            <w:r>
              <w:rPr>
                <w:rFonts w:ascii="Times New Roman;serif" w:hAnsi="Times New Roman;serif"/>
                <w:b w:val="false"/>
                <w:color w:val="000000"/>
                <w:sz w:val="12"/>
              </w:rPr>
              <w:t>(2)</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Total reconciling items:</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equity method investments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4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non-cash amortization of acquired intangible assets and non-recurring items primarily consisting of tariff refunds, costs related to a relocation to a new warehouse in the United Kingdom as a result of the sale of the Jack Wolfskin business, restructuring and reorganization charges relating to the Transformation Plan (see Note 18), and the write-off of software assets stemming from our separation from Topgolf.</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40"/>
              <w:ind w:left="0" w:right="0" w:hanging="18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Corporate costs and expenses include corporate general and administrative expenses not utilized by management in determining segment profitability as well as adjustments for discontinued operations related to indirect costs that were previously allocated to a segment.</w:t>
            </w:r>
          </w:p>
        </w:tc>
      </w:tr>
    </w:tbl>
    <w:tbl>
      <w:tblPr>
        <w:tblW w:w="7293" w:type="dxa"/>
        <w:jc w:val="left"/>
        <w:tblInd w:w="0" w:type="dxa"/>
        <w:tblLayout w:type="fixed"/>
        <w:tblCellMar>
          <w:top w:w="28" w:type="dxa"/>
          <w:left w:w="28" w:type="dxa"/>
          <w:bottom w:w="28" w:type="dxa"/>
          <w:right w:w="28" w:type="dxa"/>
        </w:tblCellMar>
      </w:tblPr>
      <w:tblGrid>
        <w:gridCol w:w="940"/>
        <w:gridCol w:w="826"/>
        <w:gridCol w:w="829"/>
        <w:gridCol w:w="249"/>
        <w:gridCol w:w="478"/>
        <w:gridCol w:w="138"/>
        <w:gridCol w:w="138"/>
        <w:gridCol w:w="138"/>
        <w:gridCol w:w="138"/>
        <w:gridCol w:w="249"/>
        <w:gridCol w:w="593"/>
        <w:gridCol w:w="138"/>
        <w:gridCol w:w="109"/>
        <w:gridCol w:w="109"/>
        <w:gridCol w:w="109"/>
        <w:gridCol w:w="216"/>
        <w:gridCol w:w="515"/>
        <w:gridCol w:w="120"/>
        <w:gridCol w:w="120"/>
        <w:gridCol w:w="120"/>
        <w:gridCol w:w="120"/>
        <w:gridCol w:w="216"/>
        <w:gridCol w:w="515"/>
        <w:gridCol w:w="170"/>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w:t>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Golf Equipment</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Apparel, Gear and Other</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816610"/>
                <wp:effectExtent l="0" t="0" r="0" b="0"/>
                <wp:wrapNone/>
                <wp:docPr id="31" name="Frame31"/>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market our products in the United States and internationally, with our principal international markets being Asia and Europe. The tables below contain information about the geographical areas in which we operate. Net sales are attributed to the location to which the product was shipped. Long-lived assets are based on location of domicile.</w:t>
      </w:r>
    </w:p>
    <w:tbl>
      <w:tblPr>
        <w:tblW w:w="6075" w:type="dxa"/>
        <w:jc w:val="left"/>
        <w:tblInd w:w="0" w:type="dxa"/>
        <w:tblLayout w:type="fixed"/>
        <w:tblCellMar>
          <w:top w:w="28" w:type="dxa"/>
          <w:left w:w="28" w:type="dxa"/>
          <w:bottom w:w="28" w:type="dxa"/>
          <w:right w:w="28" w:type="dxa"/>
        </w:tblCellMar>
      </w:tblPr>
      <w:tblGrid>
        <w:gridCol w:w="407"/>
        <w:gridCol w:w="358"/>
        <w:gridCol w:w="359"/>
        <w:gridCol w:w="216"/>
        <w:gridCol w:w="614"/>
        <w:gridCol w:w="120"/>
        <w:gridCol w:w="120"/>
        <w:gridCol w:w="120"/>
        <w:gridCol w:w="120"/>
        <w:gridCol w:w="216"/>
        <w:gridCol w:w="614"/>
        <w:gridCol w:w="120"/>
        <w:gridCol w:w="109"/>
        <w:gridCol w:w="109"/>
        <w:gridCol w:w="109"/>
        <w:gridCol w:w="196"/>
        <w:gridCol w:w="691"/>
        <w:gridCol w:w="109"/>
        <w:gridCol w:w="109"/>
        <w:gridCol w:w="109"/>
        <w:gridCol w:w="109"/>
        <w:gridCol w:w="196"/>
        <w:gridCol w:w="69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t>
            </w:r>
            <w:r>
              <w:rPr>
                <w:rFonts w:ascii="Times New Roman;serif" w:hAnsi="Times New Roman;serif"/>
                <w:b w:val="false"/>
                <w:i/>
                <w:color w:val="000000"/>
                <w:sz w:val="18"/>
              </w:rPr>
              <w:t>in millions)</w:t>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4" w:type="dxa"/>
            <w:gridSpan w:val="9"/>
            <w:tcBorders/>
          </w:tcPr>
          <w:p>
            <w:pPr>
              <w:pStyle w:val="TableContents"/>
              <w:bidi w:val="0"/>
              <w:spacing w:before="0" w:after="283"/>
              <w:jc w:val="left"/>
              <w:rPr>
                <w:sz w:val="4"/>
                <w:szCs w:val="4"/>
              </w:rPr>
            </w:pPr>
            <w:r>
              <w:rPr>
                <w:sz w:val="4"/>
                <w:szCs w:val="4"/>
              </w:rPr>
            </w:r>
          </w:p>
        </w:tc>
      </w:tr>
    </w:tbl>
    <w:tbl>
      <w:tblPr>
        <w:tblW w:w="4706" w:type="dxa"/>
        <w:jc w:val="left"/>
        <w:tblInd w:w="0" w:type="dxa"/>
        <w:tblLayout w:type="fixed"/>
        <w:tblCellMar>
          <w:top w:w="28" w:type="dxa"/>
          <w:left w:w="28" w:type="dxa"/>
          <w:bottom w:w="28" w:type="dxa"/>
          <w:right w:w="28" w:type="dxa"/>
        </w:tblCellMar>
      </w:tblPr>
      <w:tblGrid>
        <w:gridCol w:w="618"/>
        <w:gridCol w:w="544"/>
        <w:gridCol w:w="548"/>
        <w:gridCol w:w="256"/>
        <w:gridCol w:w="727"/>
        <w:gridCol w:w="142"/>
        <w:gridCol w:w="109"/>
        <w:gridCol w:w="109"/>
        <w:gridCol w:w="109"/>
        <w:gridCol w:w="334"/>
        <w:gridCol w:w="948"/>
        <w:gridCol w:w="262"/>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Long-lived assets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long-lived assets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both"/>
        <w:rPr>
          <w:rFonts w:ascii="Times New Roman;serif" w:hAnsi="Times New Roman;serif"/>
          <w:b/>
          <w:color w:val="000000"/>
          <w:sz w:val="20"/>
        </w:rPr>
      </w:pPr>
      <w:r>
        <w:rPr>
          <w:rFonts w:ascii="Times New Roman;serif" w:hAnsi="Times New Roman;serif"/>
          <w:b/>
          <w:color w:val="000000"/>
          <w:sz w:val="20"/>
        </w:rPr>
        <w:t>Note 18. Restructuring</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restructuring costs primarily consist of severance and termination benefits, asset disposals, write-offs and impairments and other exit and disposal costs. Severance costs generally include severance payments, outplacement services, health insurance coverage and legal costs.</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Transformation Plan</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In connection with the September 2024 announcement of our intended separation of the Topgolf business, we initiated a plan which is intended to optimize organizational efficiencies and decrease operating costs under the separate business structures that are anticipated after the separation (the “Transformation Plan”). </w:t>
      </w:r>
      <w:r>
        <w:rPr>
          <w:rFonts w:ascii="Times New Roman;serif" w:hAnsi="Times New Roman;serif"/>
          <w:b w:val="false"/>
          <w:color w:val="000000"/>
          <w:sz w:val="20"/>
        </w:rPr>
        <w:t>For the three and six months ended June 30, 2026, costs incurred under the Transformation Plan were primarily related to employee termination and severance costs. We expect to incur up to $10.0 million in costs related to the Transformation Plan, which we expect to be substantially complete by the end of 2026</w:t>
      </w:r>
      <w:r>
        <w:rPr>
          <w:rFonts w:ascii="Times New Roman;serif" w:hAnsi="Times New Roman;serif"/>
          <w:b w:val="false"/>
          <w:color w:val="000000"/>
          <w:sz w:val="20"/>
          <w:shd w:fill="FFFFFF" w:val="clear"/>
        </w:rPr>
        <w:t xml:space="preserve">.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we incurred $0.6 million and $0.4 million, respectively, of employee termination and severance costs under the Transformation Plan. For the six months ended June 30, 2026 and 2025, we incurred $1.4 million and $1.1 million, respectively, of employee termination and severance costs under the Transformation Plan. Amounts payable for employee termination and severance included in accrued employee compensation and benefits on the condensed consolidated balance sheets at June 30, 2026 and December 31, 2025, totaled $0.6 million and $0.2 million, respectively. As of June 30, 2026, we incurred cumulative costs of $5.7 million related to the Transformation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16610"/>
                <wp:effectExtent l="0" t="0" r="0" b="0"/>
                <wp:wrapNone/>
                <wp:docPr id="32" name="Frame32"/>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283"/>
        <w:jc w:val="both"/>
        <w:rPr/>
      </w:pPr>
      <w:r>
        <w:rPr>
          <w:rFonts w:ascii="Times New Roman;serif" w:hAnsi="Times New Roman;serif"/>
          <w:b/>
          <w:color w:val="000000"/>
          <w:sz w:val="20"/>
          <w:shd w:fill="FFFFFF" w:val="clear"/>
        </w:rPr>
        <w:t xml:space="preserve">Item 2. </w:t>
      </w:r>
      <w:r>
        <w:rPr>
          <w:rFonts w:ascii="Times New Roman;serif" w:hAnsi="Times New Roman;serif"/>
          <w:b/>
          <w:i/>
          <w:color w:val="000000"/>
          <w:sz w:val="20"/>
          <w:shd w:fill="FFFFFF" w:val="clear"/>
        </w:rPr>
        <w:t>Management’s Discussion and Analysis of Financial Condition and Results of Operations</w:t>
      </w:r>
    </w:p>
    <w:p>
      <w:pPr>
        <w:pStyle w:val="TextBody"/>
        <w:bidi w:val="0"/>
        <w:spacing w:lineRule="auto" w:line="288" w:before="120" w:after="283"/>
        <w:ind w:left="0" w:right="0" w:firstLine="495"/>
        <w:jc w:val="both"/>
        <w:rPr/>
      </w:pPr>
      <w:r>
        <w:rPr>
          <w:rFonts w:ascii="Times New Roman;serif" w:hAnsi="Times New Roman;serif"/>
          <w:b w:val="false"/>
          <w:i/>
          <w:color w:val="000000"/>
          <w:sz w:val="20"/>
          <w:shd w:fill="FFFFFF" w:val="clear"/>
        </w:rPr>
        <w:t>The following discussion should be read in conjunction with the condensed consolidated financial statements and related notes that appear elsewhere in this report, and the condensed consolidated financial statements and notes thereto included in our Annual Report on Form 10-K for the year ended December 31, 2025, which was filed with the SEC on February 27, 2026. Interim operating results are not indicative of operating results that may be expected for the year ending December 31, 2026, or any other future periods. See “Important Notice to Investors Regarding Forward-Looking Statements” on page 2 of this report. References to the “Company,” “</w:t>
      </w:r>
      <w:r>
        <w:rPr>
          <w:rFonts w:ascii="Times New Roman;serif" w:hAnsi="Times New Roman;serif"/>
          <w:b w:val="false"/>
          <w:i/>
          <w:color w:val="000000"/>
          <w:sz w:val="20"/>
        </w:rPr>
        <w:t>Callaway Golf Company,</w:t>
      </w:r>
      <w:r>
        <w:rPr>
          <w:color w:val="000000"/>
          <w:shd w:fill="FFFFFF" w:val="clear"/>
        </w:rPr>
        <w:t>” “</w:t>
      </w:r>
      <w:r>
        <w:rPr>
          <w:rFonts w:ascii="Times New Roman;serif" w:hAnsi="Times New Roman;serif"/>
          <w:b w:val="false"/>
          <w:i/>
          <w:color w:val="000000"/>
          <w:sz w:val="20"/>
          <w:shd w:fill="FFFFFF" w:val="clear"/>
        </w:rPr>
        <w:t>we,” “our,” or “us” in this report refe</w:t>
      </w:r>
      <w:r>
        <w:rPr>
          <w:rFonts w:ascii="Times New Roman;serif" w:hAnsi="Times New Roman;serif"/>
          <w:b w:val="false"/>
          <w:i/>
          <w:color w:val="000000"/>
          <w:sz w:val="20"/>
        </w:rPr>
        <w:t>r to Callaway Golf Company, togeth</w:t>
      </w:r>
      <w:r>
        <w:rPr>
          <w:rFonts w:ascii="Times New Roman;serif" w:hAnsi="Times New Roman;serif"/>
          <w:b w:val="false"/>
          <w:i/>
          <w:color w:val="000000"/>
          <w:sz w:val="20"/>
          <w:shd w:fill="FFFFFF" w:val="clear"/>
        </w:rPr>
        <w:t>er with our wholly-owned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Divestitures of Topgolf and Jack Wolfskin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2025, we executed a strategic realignment to focus on our core Golf Equipment and complementary soft goods businesses, which included the sale of Jack Wolfskin on May 31, 2025, for approximately $290.0 million and the sale of a 60% stake in our Topgolf and Toptracer business (“Topgolf”) based upon an equity value of approximately $1,100.0 million. The Topgolf transaction closed effective January 1, 2026, resulting in net proceeds to us of $820.1 million from the sale and related financing transactions, net of preliminary working capital adjustments and cash retained. Our remaining 39.3% interest in Topgolf (following the sale by Topgolf of additional dilutive units in April 2026, which decreased our non-controlling interest) is accounted for under the equity method.</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As a result of these divestitures, the operating results of Jack Wolfskin and Topgolf are classified as discontinued operations for all periods presented, while our proportionate share of earnings and losses related to our remaining equity method investment in Topgolf is included in continuing operations. For more information, please refer to Note 3 of this Form 10-Q or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Discussion of Non-GAAP Measures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addition to the financial results contained in this report, which have been prepared and presented in accordance with accounting principles generally accepted in the United States of America (“GAAP”), we have also included supplemental information concerning our financial results on a non-GAAP basis. This non-GAAP information includes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constant currency measure on net sales in order to demonstrate the impact of foreign currency fluctuations on these results. This information represents an estimate for comparative purposes and is calculated by taking current period local currency results and translating them into U.S. dollars based on the foreign currency exchange rates for the applicable comparable prior period.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income and diluted earnings per share from continuing operations excluding the non-cash amortization associated with acquired intangible assets, including acquired customer and distributor relationships and acquired developed technology related to our acquisitions of TravisMathew and OGIO (collectively, the “Acquisitions”). While the amortization of these assets is excluded from our calculation of non-GAAP net income, the revenue, operating costs and associated acquired assets that contribute to the revenue generation associated with these acquired companies is reflected in our calculation of non-GAAP net income from continuing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income and diluted earnings per share from continuing operations excluding certain non-cash and non-recurring items, as further detailed below, as well as the income (loss) from our equity method investment in Topgolf. In addition, for periods presented for fiscal year 2025, net income and diluted earnings per share from continuing operations were adjusted to include interest expense associated with term loan debt that was recognized as part of discontinued operations in order to show the full effect of consolidated interest expense from our corporate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816610"/>
                <wp:effectExtent l="0" t="0" r="0" b="0"/>
                <wp:wrapNone/>
                <wp:docPr id="33" name="Frame33"/>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have included information in this report to reconcile non-GAAP information for the periods presented to the most directly comparable GAAP information. Non-GAAP information in this report should not be considered in isolation or as a substitute for any measure derived in accordance with GAAP and may also be inconsistent with the manner in which similar measures are derived or used by other companies. We use such non-GAAP information for financial and operational decision-making purposes and as a means to evaluate the underlying performance of our business and/or in forecasting our business. We believe that the presentation of such non-GAAP information, when considered in conjunction with the most directly comparable GAAP information, provides additional useful information for investors in their assessment of the underlying performance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Segment and Related Information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products and brands are reported under two operating segments: Golf Equipment, which includes the operations of our golf clubs and golf balls business; and Apparel, Gear and Other, which includes the operations of our soft goods business marketed under the Callaway, TravisMathew and OGIO brand names.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270"/>
        <w:jc w:val="both"/>
        <w:rPr>
          <w:rFonts w:ascii="Times New Roman;serif" w:hAnsi="Times New Roman;serif"/>
          <w:b/>
          <w:color w:val="000000"/>
          <w:sz w:val="20"/>
        </w:rPr>
      </w:pPr>
      <w:r>
        <w:rPr>
          <w:rFonts w:ascii="Times New Roman;serif" w:hAnsi="Times New Roman;serif"/>
          <w:b/>
          <w:color w:val="000000"/>
          <w:sz w:val="20"/>
        </w:rPr>
        <w:t>Golf Equipment</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Golf Equipment operating segment is comprised of Callaway Golf-branded woods, hybrids, irons, wedges, Odyssey putters, packaged sets, and Callaway Golf branded golf balls, as well as sales of pre-owned golf clubs. Our golf equipment products are designed to be technologically advanced and are for golfers of all skill levels, from beginner to professional.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results for our Golf Equipment segment fluctuate due to seasonal factors, as the game of golf is primarily played on a seasonal basis in most of the regions where we conduct business. Weather conditions in most parts of the world, including our primary geographic markets, generally restrict golf from being played throughout the entire year, with many of our on-course customers closing during the cold weather months. Operating results are also impacted by the timing of our product launches. In general, we launch new products for the new golf season during the first quarter of the year. This initial sell-in period typically continues into the second quarter, while third-quarter sales are generally dependent on reorders and may also include smaller new product launches. Fourth-quarter sales are generally less than the other quarters due to the end of the golf season in many of our key regions. In addition to this seasonality, our Golf Equipment sales may also be impacted by other factors, including the timing of new product introductions. As a result of these factors, a majority of our Golf Equipment sales, and most, if not all, of the profitability from our Golf Equipment operating segment generally occurs during the first half of the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firstLine="270"/>
        <w:jc w:val="both"/>
        <w:rPr>
          <w:rFonts w:ascii="Times New Roman;serif" w:hAnsi="Times New Roman;serif"/>
          <w:b/>
          <w:color w:val="000000"/>
          <w:sz w:val="20"/>
        </w:rPr>
      </w:pPr>
      <w:r>
        <w:rPr>
          <w:rFonts w:ascii="Times New Roman;serif" w:hAnsi="Times New Roman;serif"/>
          <w:b/>
          <w:color w:val="000000"/>
          <w:sz w:val="20"/>
        </w:rPr>
        <w:t>Apparel, Gear, and Other</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Apparel, Gear and Other segment is comprised of high quality soft good products which we design, develop and sell under the Callaway, TravisMathew and OGIO brands. These brands deliver a range of premium performance and lifestyle products in the United States and select international markets. We are focused on maintaining strong brand momentum by category and market share growth with key trade partners by enhancing our digital marketing, e-commerce and retail store presence, which we believe will increase direct-to-consumer sales and drive increased profitability over time.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Sales of Callaway</w:t>
        <w:noBreakHyphen/>
        <w:t>branded golf apparel and accessories generally follow the same seasonal patterns as golf equipment and are therefore typically higher during the first half of the year. Sales of TravisMathew and OGIO branded products, which include golf and lifestyle apparel, accessories, and performance products, are more diversified and therefore are more evenly distributed throughout the year due to broader product offerings and a greater mix of direct</w:t>
        <w:noBreakHyphen/>
        <w:t>to</w:t>
        <w:noBreakHyphen/>
        <w:t>consumer sales.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For further information about our segments, see Note 17 “Segment Information” in the Notes to Condensed Consolidated Financial Statements in Part I, Item 1 of this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16610"/>
                <wp:effectExtent l="0" t="0" r="0" b="0"/>
                <wp:wrapNone/>
                <wp:docPr id="34" name="Frame34"/>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Current Economic Conditions</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Macroeconomic Factors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products are discretionary purchases, and demand may be adversely affected by changes in macroeconomic conditions that impact consumer discretionary spending. These conditions include, among other factors, inflationary pressures, interest rate environments, changes in trade policies or tariffs, and geopolitical tensions that may create an uncertain environment for global trade and contribute to volatility in commodity, energy, and other input costs. While we seek to mitigate the effects of such factors through monitoring consumer spending behavior and implementing strategic initiatives, prolonged or severe adverse economic conditions could negatively impact our operating results.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Tariffs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2025, the U.S. government implemented reciprocal tariffs affecting many countries in which we do business, increasing costs for our products, components, and raw materials, a significant portion of which are sourced from outside the United States, including Asia and other regions, which may adversely affect product availability, pricing, and demand. On February 20, 2026, the United States Supreme Court struck down certain tariffs previously imposed under the International Emergency Economic Powers Act of 1977 (“IEEPA”). As a result, we filed approximately $49.5 million of refund claims related to previously paid IEEPA tariffs, subject to applicable eligibility, filing, and recovery requirements.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We account for tariff refund claims as gain contingencies and recognize refunds when they are deemed realized or realizable. During the quarter ended June 30, 2026, we recognized $10.8 million of tariff refunds related to previously paid IEEPA tariffs, with the associated benefit recorded within cost of sales in our results of operations. Despite the recognition of these refunds, significant uncertainty remains regarding future U.S. trade policy, including the potential for additional tariffs under alternative statutory authorities, the outcome of ongoing legal proceedings, and the possibility of further changes to tariff rates, scope, duration and enforcement. The ultimate amount, if any, and timing of additional tariff refunds remain subject to ongoing legal, regulatory and administrative proceedings.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Foreign Currency</w:t>
      </w:r>
    </w:p>
    <w:p>
      <w:pPr>
        <w:pStyle w:val="TextBody"/>
        <w:bidi w:val="0"/>
        <w:spacing w:lineRule="auto" w:line="288" w:before="120" w:after="283"/>
        <w:ind w:left="0" w:right="0" w:firstLine="450"/>
        <w:jc w:val="both"/>
        <w:rPr/>
      </w:pPr>
      <w:r>
        <w:rPr>
          <w:rFonts w:ascii="Times New Roman;serif" w:hAnsi="Times New Roman;serif"/>
          <w:b w:val="false"/>
          <w:color w:val="000000"/>
          <w:sz w:val="20"/>
        </w:rPr>
        <w:t>A significant portion of our operations is conducted outside the United States in currencies other than the U.S. dollar. We use foreign currency forward contracts to partially mitigate the short</w:t>
        <w:noBreakHyphen/>
        <w:t>term effects of exchange rate fluctuations on our financial results; however, these instruments do not eliminate currency impacts or address long</w:t>
        <w:noBreakHyphen/>
        <w:t>term exposure. Foreign currency fluctuations affect our results primarily through the translation of foreign</w:t>
        <w:noBreakHyphen/>
        <w:t>currency</w:t>
        <w:noBreakHyphen/>
        <w:t>denominated results into U.S. dollars and mark</w:t>
        <w:noBreakHyphen/>
        <w:t>to</w:t>
        <w:noBreakHyphen/>
        <w:t>market adjustments on certain intercompany balances and foreign currency forward contracts. F</w:t>
      </w:r>
      <w:r>
        <w:rPr>
          <w:rFonts w:ascii="Times New Roman;serif" w:hAnsi="Times New Roman;serif"/>
          <w:b w:val="false"/>
          <w:color w:val="000000"/>
          <w:sz w:val="20"/>
          <w:shd w:fill="FFFFFF" w:val="clear"/>
        </w:rPr>
        <w:t xml:space="preserve">or the three and </w:t>
      </w:r>
      <w:r>
        <w:rPr>
          <w:rFonts w:ascii="Times New Roman;serif" w:hAnsi="Times New Roman;serif"/>
          <w:b w:val="false"/>
          <w:color w:val="000000"/>
          <w:sz w:val="20"/>
        </w:rPr>
        <w:t xml:space="preserve">six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foreign currency</w:t>
      </w:r>
      <w:r>
        <w:rPr>
          <w:color w:val="000000"/>
        </w:rPr>
        <w:t xml:space="preserve"> </w:t>
      </w:r>
      <w:r>
        <w:rPr>
          <w:rFonts w:ascii="Times New Roman;serif" w:hAnsi="Times New Roman;serif"/>
          <w:b w:val="false"/>
          <w:color w:val="000000"/>
          <w:sz w:val="20"/>
        </w:rPr>
        <w:t>f</w:t>
      </w:r>
      <w:r>
        <w:rPr>
          <w:rFonts w:ascii="Times New Roman;serif" w:hAnsi="Times New Roman;serif"/>
          <w:b w:val="false"/>
          <w:color w:val="000000"/>
          <w:sz w:val="20"/>
          <w:shd w:fill="FFFFFF" w:val="clear"/>
        </w:rPr>
        <w:t>luctuations had an</w:t>
      </w:r>
      <w:r>
        <w:rPr>
          <w:color w:val="000000"/>
        </w:rPr>
        <w:t xml:space="preserve"> </w:t>
      </w:r>
      <w:r>
        <w:rPr>
          <w:rFonts w:ascii="Times New Roman;serif" w:hAnsi="Times New Roman;serif"/>
          <w:b w:val="false"/>
          <w:color w:val="000000"/>
          <w:sz w:val="20"/>
        </w:rPr>
        <w:t xml:space="preserve">unfavorable impact of </w:t>
      </w:r>
      <w:r>
        <w:rPr>
          <w:rFonts w:ascii="Times New Roman;serif" w:hAnsi="Times New Roman;serif"/>
          <w:b w:val="false"/>
          <w:color w:val="000000"/>
          <w:sz w:val="20"/>
          <w:shd w:fill="FFFFFF" w:val="clear"/>
        </w:rPr>
        <w:t>$5.1 million and</w:t>
      </w:r>
      <w:r>
        <w:rPr>
          <w:color w:val="000000"/>
        </w:rPr>
        <w:t xml:space="preserve"> </w:t>
      </w:r>
      <w:r>
        <w:rPr>
          <w:rFonts w:ascii="Times New Roman;serif" w:hAnsi="Times New Roman;serif"/>
          <w:b w:val="false"/>
          <w:color w:val="000000"/>
          <w:sz w:val="20"/>
          <w:shd w:fill="FFFFFF" w:val="clear"/>
        </w:rPr>
        <w:t xml:space="preserve">a </w:t>
      </w:r>
      <w:r>
        <w:rPr>
          <w:rFonts w:ascii="Times New Roman;serif" w:hAnsi="Times New Roman;serif"/>
          <w:b w:val="false"/>
          <w:color w:val="000000"/>
          <w:sz w:val="20"/>
        </w:rPr>
        <w:t xml:space="preserve">favorable impact of </w:t>
      </w:r>
      <w:r>
        <w:rPr>
          <w:rFonts w:ascii="Times New Roman;serif" w:hAnsi="Times New Roman;serif"/>
          <w:b w:val="false"/>
          <w:color w:val="000000"/>
          <w:sz w:val="20"/>
          <w:shd w:fill="FFFFFF" w:val="clear"/>
        </w:rPr>
        <w:t>$2.5 million, respectively, on international net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16610"/>
                <wp:effectExtent l="0" t="0" r="0" b="0"/>
                <wp:wrapNone/>
                <wp:docPr id="35" name="Frame35"/>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 xml:space="preserve">We have reclassified certain prior-year amounts related to our discontinued operations to conform to the current year’s presentation. Unless otherwise specified, our discussion below reflects continuing operations only and prior period financial information related to discontinued operations has been reclassified and is separately presented in the </w:t>
      </w:r>
      <w:r>
        <w:rPr>
          <w:rFonts w:ascii="Times New Roman;serif" w:hAnsi="Times New Roman;serif"/>
          <w:b w:val="false"/>
          <w:color w:val="000000"/>
          <w:sz w:val="20"/>
          <w:shd w:fill="FFFFFF" w:val="clear"/>
        </w:rPr>
        <w:t xml:space="preserve">condensed </w:t>
      </w:r>
      <w:r>
        <w:rPr>
          <w:rFonts w:ascii="Times New Roman;serif" w:hAnsi="Times New Roman;serif"/>
          <w:b w:val="false"/>
          <w:color w:val="000000"/>
          <w:sz w:val="20"/>
        </w:rPr>
        <w:t>consolidated financial statements and accompanying notes.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Net sales and operating segment results (in millions,</w:t>
      </w:r>
      <w:r>
        <w:rPr>
          <w:color w:val="000000"/>
        </w:rPr>
        <w:t xml:space="preserve"> </w:t>
      </w:r>
      <w:r>
        <w:rPr>
          <w:rFonts w:ascii="Times New Roman;serif" w:hAnsi="Times New Roman;serif"/>
          <w:b w:val="false"/>
          <w:i/>
          <w:color w:val="000000"/>
          <w:sz w:val="20"/>
        </w:rPr>
        <w:t>except percentages)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sales for the three months ended June 30, 2026 increased $11.8 million or 2.0% (2.8% on a constant currency basis) as compared to the three months ended June 30, 2025. Segment operating income increased $28.2 million or 26.7% driven by increases in both our Golf Equipment and Apparel, Gear and Other operating segments.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sales for the six months ended June 30, 2026 increased $69.7 million or 5.7% (5.5% on a constant currency basis) as compared to the six months ended June 30, 2025. Segment operating income increased $60.6 million or 25.0% driven by increases in both our Golf Equipment and Apparel, Gear and Other operating segments.</w:t>
      </w:r>
    </w:p>
    <w:tbl>
      <w:tblPr>
        <w:tblW w:w="12997" w:type="dxa"/>
        <w:jc w:val="left"/>
        <w:tblInd w:w="0" w:type="dxa"/>
        <w:tblLayout w:type="fixed"/>
        <w:tblCellMar>
          <w:top w:w="28" w:type="dxa"/>
          <w:left w:w="28" w:type="dxa"/>
          <w:bottom w:w="28" w:type="dxa"/>
          <w:right w:w="28" w:type="dxa"/>
        </w:tblCellMar>
      </w:tblPr>
      <w:tblGrid>
        <w:gridCol w:w="636"/>
        <w:gridCol w:w="278"/>
        <w:gridCol w:w="212"/>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240"/>
        <w:gridCol w:w="241"/>
        <w:gridCol w:w="349"/>
        <w:gridCol w:w="109"/>
        <w:gridCol w:w="109"/>
        <w:gridCol w:w="109"/>
        <w:gridCol w:w="315"/>
        <w:gridCol w:w="315"/>
        <w:gridCol w:w="316"/>
        <w:gridCol w:w="109"/>
        <w:gridCol w:w="109"/>
        <w:gridCol w:w="109"/>
        <w:gridCol w:w="196"/>
        <w:gridCol w:w="691"/>
        <w:gridCol w:w="109"/>
        <w:gridCol w:w="109"/>
        <w:gridCol w:w="109"/>
        <w:gridCol w:w="109"/>
        <w:gridCol w:w="196"/>
        <w:gridCol w:w="691"/>
        <w:gridCol w:w="109"/>
        <w:gridCol w:w="109"/>
        <w:gridCol w:w="109"/>
        <w:gridCol w:w="109"/>
        <w:gridCol w:w="196"/>
        <w:gridCol w:w="466"/>
        <w:gridCol w:w="109"/>
        <w:gridCol w:w="109"/>
        <w:gridCol w:w="109"/>
        <w:gridCol w:w="109"/>
        <w:gridCol w:w="277"/>
        <w:gridCol w:w="279"/>
        <w:gridCol w:w="349"/>
        <w:gridCol w:w="109"/>
        <w:gridCol w:w="109"/>
        <w:gridCol w:w="109"/>
        <w:gridCol w:w="290"/>
        <w:gridCol w:w="290"/>
        <w:gridCol w:w="411"/>
      </w:tblGrid>
      <w:tr>
        <w:trPr/>
        <w:tc>
          <w:tcPr>
            <w:tcW w:w="63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Non-GAAP Constant Currency Growth vs. 2025</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Non-GAAP Constant Currency Growth vs. 2025</w:t>
            </w:r>
            <w:r>
              <w:rPr>
                <w:rFonts w:ascii="Times New Roman;serif" w:hAnsi="Times New Roman;serif"/>
                <w:b/>
                <w:color w:val="000000"/>
                <w:sz w:val="10"/>
              </w:rPr>
              <w:t>(1)</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clubs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balls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Equipment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Apparel</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Gear, accessories, &amp;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Apparel, Gear and Other</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income (loss):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Apparel, Gear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operating income (loss)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Non-recurring items </w:t>
            </w:r>
            <w:r>
              <w:rPr>
                <w:rFonts w:ascii="Times New Roman;serif" w:hAnsi="Times New Roman;serif"/>
                <w:b w:val="false"/>
                <w:color w:val="000000"/>
                <w:sz w:val="10"/>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Corporate costs and expenses </w:t>
            </w:r>
            <w:r>
              <w:rPr>
                <w:rFonts w:ascii="Times New Roman;serif" w:hAnsi="Times New Roman;serif"/>
                <w:b w:val="false"/>
                <w:color w:val="000000"/>
                <w:sz w:val="10"/>
              </w:rPr>
              <w:t>(3)</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(expense), net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method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7" w:type="dxa"/>
            <w:gridSpan w:val="60"/>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Calculated by applying 2025 exchange rates to 2026 reported sales in regions outside the United States.</w:t>
            </w:r>
          </w:p>
        </w:tc>
      </w:tr>
      <w:tr>
        <w:trPr/>
        <w:tc>
          <w:tcPr>
            <w:tcW w:w="12997" w:type="dxa"/>
            <w:gridSpan w:val="60"/>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non-cash amortization of acquired intangible assets and non-recurring items primarily consisting of tariff refunds, costs related to the relocation to a new UK warehouse as a result of the sale of the Jack Wolfskin business in 2025, restructuring and reorganization charges related to the Transformation Plan, and the write-off of software assets stemming from our separation from Topgolf.</w:t>
            </w:r>
          </w:p>
        </w:tc>
      </w:tr>
      <w:tr>
        <w:trPr/>
        <w:tc>
          <w:tcPr>
            <w:tcW w:w="12997" w:type="dxa"/>
            <w:gridSpan w:val="60"/>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Corporate costs and expenses include corporate general and administrative expenses not utilized by management in determining segment profitability as well as adjustments from discontinued operations related to indirect costs that were previously allocated to a segment.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16610"/>
                <wp:effectExtent l="0" t="0" r="0" b="0"/>
                <wp:wrapNone/>
                <wp:docPr id="36" name="Frame36"/>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283"/>
        <w:ind w:left="0" w:right="0" w:firstLine="270"/>
        <w:jc w:val="left"/>
        <w:rPr>
          <w:rFonts w:ascii="Times New Roman;serif" w:hAnsi="Times New Roman;serif"/>
          <w:b/>
          <w:i/>
          <w:color w:val="000000"/>
          <w:sz w:val="20"/>
        </w:rPr>
      </w:pPr>
      <w:r>
        <w:rPr>
          <w:rFonts w:ascii="Times New Roman;serif" w:hAnsi="Times New Roman;serif"/>
          <w:b/>
          <w:i/>
          <w:color w:val="000000"/>
          <w:sz w:val="20"/>
        </w:rPr>
        <w:t>Golf Equipment</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rPr>
        <w:t>$18.5 million (4.5%) increase in Golf Equipment net sales for the three months ended June 30, 2026 was primarily due to a 14.8% increase in golf ball sales driven by the continued success of the new Chrome family of golf balls and overall gains in market share, and a 1.2% increase in golf club sales primarily driven by continued sales momentum in fairway woods. These increases were partially offset by decreases in sales of lower-margin golf ball products related to SKU rationalization initiatives.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rPr>
        <w:t>$60.8 million (7.1%) increase in Golf Equipment net sales for the six months ended June 30, 2026 was due to a 6.8% increase in golf club sales driven by strong reception of new product launches, combined with an 8.1% increase in golf ball sales driven by the successful launch of the new Chrome family of golf balls and overall gains in market share, partially offset by lower sales of lower margin golf ball products related to SKU rationalization initiatives.</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$24.1 million increase in Golf Equipment segment operating income for the three months ended June 30, 2026 was primarily driven by the increase in net sales noted above, combined with improved gross margins resulting from favorable pricing, product mix, cost savings from gross margin initiatives and lower tariffs. These increases were partially offset by an increase in operating expenses of $4.2 million primarily due to the timing of advertising spend and cost-of-living adjustments. </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T</w:t>
      </w:r>
      <w:r>
        <w:rPr>
          <w:rFonts w:ascii="Times New Roman;serif" w:hAnsi="Times New Roman;serif"/>
          <w:b w:val="false"/>
          <w:color w:val="000000"/>
          <w:sz w:val="20"/>
        </w:rPr>
        <w:t>he $39.9 million increase in Golf Equipment segment operating income for the six months ended June 30, 2026 was primarily driven by the increase in net sales noted above, combined with improved gross margins resulting from favorable pricing, product mix, and cost savings from gross margin initiatives, which more than offset the unfavorable impact of incremental tariffs. These increases were partially offset by an increase in operating expenses of $12.4 million primarily due to the recognition of an $8.2 million lease termination incentive gain in the first quarter of 2025 that did not recur combined with an increase in employee costs due to cost-of-living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270"/>
        <w:jc w:val="both"/>
        <w:rPr>
          <w:rFonts w:ascii="Times New Roman;serif" w:hAnsi="Times New Roman;serif"/>
          <w:b/>
          <w:i/>
          <w:color w:val="000000"/>
          <w:sz w:val="20"/>
        </w:rPr>
      </w:pPr>
      <w:r>
        <w:rPr>
          <w:rFonts w:ascii="Times New Roman;serif" w:hAnsi="Times New Roman;serif"/>
          <w:b/>
          <w:i/>
          <w:color w:val="000000"/>
          <w:sz w:val="20"/>
        </w:rPr>
        <w:t>Apparel, Gear and Other</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Net sales</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rPr>
        <w:t>$6.7 million (3.6%</w:t>
      </w:r>
      <w:r>
        <w:rPr>
          <w:rFonts w:ascii="Times New Roman;serif" w:hAnsi="Times New Roman;serif"/>
          <w:b w:val="false"/>
          <w:color w:val="000000"/>
          <w:sz w:val="20"/>
          <w:shd w:fill="FFFFFF" w:val="clear"/>
        </w:rPr>
        <w:t>) decrease in Apparel, Gear and Other net sales for</w:t>
      </w:r>
      <w:r>
        <w:rPr>
          <w:color w:val="000000"/>
        </w:rPr>
        <w:t xml:space="preserve"> </w:t>
      </w:r>
      <w:r>
        <w:rPr>
          <w:rFonts w:ascii="Times New Roman;serif" w:hAnsi="Times New Roman;serif"/>
          <w:b w:val="false"/>
          <w:color w:val="000000"/>
          <w:sz w:val="20"/>
        </w:rPr>
        <w:t xml:space="preserve">the three months ended June 30, 2026 was primarily due to decreases in sales of Callaway soft goods due to timing of shipments and decreases in Asia from unfavorable foreign currency impacts, partially offset by an increase in sales of TravisMathew apparel products primarily related to higher direct-to-consumer sales.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rPr>
        <w:t>$8.9 million (</w:t>
      </w:r>
      <w:r>
        <w:rPr>
          <w:rFonts w:ascii="Times New Roman;serif" w:hAnsi="Times New Roman;serif"/>
          <w:b w:val="false"/>
          <w:color w:val="000000"/>
          <w:sz w:val="20"/>
          <w:shd w:fill="FFFFFF" w:val="clear"/>
        </w:rPr>
        <w:t>2.4%) increase in Apparel, Gear and Other net sales for</w:t>
      </w:r>
      <w:r>
        <w:rPr>
          <w:color w:val="000000"/>
        </w:rPr>
        <w:t xml:space="preserve"> </w:t>
      </w:r>
      <w:r>
        <w:rPr>
          <w:rFonts w:ascii="Times New Roman;serif" w:hAnsi="Times New Roman;serif"/>
          <w:b w:val="false"/>
          <w:color w:val="000000"/>
          <w:sz w:val="20"/>
        </w:rPr>
        <w:t xml:space="preserve">the six months ended June 30, 2026 was primarily due to increases in sales of TravisMathew apparel products related to strong overall market demand and higher direct-to-consumer sales, combined with increased sales of Callaway soft goods. </w:t>
      </w:r>
    </w:p>
    <w:p>
      <w:pPr>
        <w:pStyle w:val="TextBody"/>
        <w:bidi w:val="0"/>
        <w:spacing w:lineRule="auto" w:line="288" w:before="120" w:after="283"/>
        <w:ind w:left="0" w:right="0" w:firstLine="450"/>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rPr>
        <w:t>$4.1 million (14.0%</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increase in segment operating income for the three months ended June 30, 2026 was primarily driven by higher gross margins from favorable pricing and cost savings from gross margin initiatives, which more than offset the decrease in net sales and the unfavorable impact of incremental tariffs. These increases were partially offset by an increase in operating expenses of $0.8 million due to slight increases related to timing in advertising spend. </w:t>
      </w:r>
    </w:p>
    <w:p>
      <w:pPr>
        <w:pStyle w:val="TextBody"/>
        <w:bidi w:val="0"/>
        <w:spacing w:lineRule="auto" w:line="288" w:before="120" w:after="283"/>
        <w:ind w:left="0" w:right="0" w:firstLine="450"/>
        <w:jc w:val="both"/>
        <w:rPr/>
      </w:pP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rPr>
        <w:t>$20.7 million (</w:t>
      </w:r>
      <w:r>
        <w:rPr>
          <w:rFonts w:ascii="Times New Roman;serif" w:hAnsi="Times New Roman;serif"/>
          <w:b w:val="false"/>
          <w:color w:val="000000"/>
          <w:sz w:val="20"/>
          <w:shd w:fill="FFFFFF" w:val="clear"/>
        </w:rPr>
        <w:t xml:space="preserve">32.0%) </w:t>
      </w:r>
      <w:r>
        <w:rPr>
          <w:rFonts w:ascii="Times New Roman;serif" w:hAnsi="Times New Roman;serif"/>
          <w:b w:val="false"/>
          <w:color w:val="000000"/>
          <w:sz w:val="20"/>
        </w:rPr>
        <w:t>increase in segment operating income for the six months ended June 30, 2026 was primarily driven by the increase in net sales and higher gross margins from favorable pricing and cost savings from gross margin initiatives, which more than offset the unfavorable impact of incremental tariffs. These increases were partially offset by an increase in operating expenses of $3.6 million due to the recognition of a $3.8 million lease termination incentive gain in the first quarter of 2025 that did not recur.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16610"/>
                <wp:effectExtent l="0" t="0" r="0" b="0"/>
                <wp:wrapNone/>
                <wp:docPr id="37" name="Frame37"/>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1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Net sales by major geographic region for the periods presented below were as follows (in millions, except percentages):</w:t>
      </w:r>
    </w:p>
    <w:tbl>
      <w:tblPr>
        <w:tblW w:w="11357" w:type="dxa"/>
        <w:jc w:val="left"/>
        <w:tblInd w:w="0" w:type="dxa"/>
        <w:tblLayout w:type="fixed"/>
        <w:tblCellMar>
          <w:top w:w="28" w:type="dxa"/>
          <w:left w:w="28" w:type="dxa"/>
          <w:bottom w:w="28" w:type="dxa"/>
          <w:right w:w="28" w:type="dxa"/>
        </w:tblCellMar>
      </w:tblPr>
      <w:tblGrid>
        <w:gridCol w:w="322"/>
        <w:gridCol w:w="159"/>
        <w:gridCol w:w="150"/>
        <w:gridCol w:w="196"/>
        <w:gridCol w:w="556"/>
        <w:gridCol w:w="109"/>
        <w:gridCol w:w="109"/>
        <w:gridCol w:w="109"/>
        <w:gridCol w:w="109"/>
        <w:gridCol w:w="196"/>
        <w:gridCol w:w="556"/>
        <w:gridCol w:w="109"/>
        <w:gridCol w:w="109"/>
        <w:gridCol w:w="109"/>
        <w:gridCol w:w="109"/>
        <w:gridCol w:w="196"/>
        <w:gridCol w:w="466"/>
        <w:gridCol w:w="109"/>
        <w:gridCol w:w="195"/>
        <w:gridCol w:w="196"/>
        <w:gridCol w:w="357"/>
        <w:gridCol w:w="109"/>
        <w:gridCol w:w="109"/>
        <w:gridCol w:w="109"/>
        <w:gridCol w:w="217"/>
        <w:gridCol w:w="217"/>
        <w:gridCol w:w="512"/>
        <w:gridCol w:w="109"/>
        <w:gridCol w:w="109"/>
        <w:gridCol w:w="109"/>
        <w:gridCol w:w="196"/>
        <w:gridCol w:w="691"/>
        <w:gridCol w:w="109"/>
        <w:gridCol w:w="109"/>
        <w:gridCol w:w="109"/>
        <w:gridCol w:w="109"/>
        <w:gridCol w:w="196"/>
        <w:gridCol w:w="691"/>
        <w:gridCol w:w="109"/>
        <w:gridCol w:w="109"/>
        <w:gridCol w:w="109"/>
        <w:gridCol w:w="109"/>
        <w:gridCol w:w="196"/>
        <w:gridCol w:w="466"/>
        <w:gridCol w:w="109"/>
        <w:gridCol w:w="233"/>
        <w:gridCol w:w="233"/>
        <w:gridCol w:w="357"/>
        <w:gridCol w:w="208"/>
        <w:gridCol w:w="208"/>
        <w:gridCol w:w="575"/>
      </w:tblGrid>
      <w:tr>
        <w:trPr/>
        <w:tc>
          <w:tcPr>
            <w:tcW w:w="32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Non-GAAP Constant Currency Growth vs.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Non-GAAP Constant Currency Growth vs. 2025</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3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sell our Golf Equipment and Apparel, Gear and Other products in the United States and internationally, with our principal international regions being Europe and Asia. Apparel, Gear and Other product sales for our TravisMathew business are primarily concentrated in the United States.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United States</w:t>
      </w:r>
    </w:p>
    <w:p>
      <w:pPr>
        <w:pStyle w:val="TextBody"/>
        <w:bidi w:val="0"/>
        <w:spacing w:lineRule="auto" w:line="288" w:before="60" w:after="283"/>
        <w:ind w:left="0" w:right="0" w:firstLine="450"/>
        <w:jc w:val="both"/>
        <w:rPr/>
      </w:pP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$13.6 million</w:t>
      </w:r>
      <w:r>
        <w:rPr>
          <w:color w:val="000000"/>
        </w:rPr>
        <w:t xml:space="preserve"> </w:t>
      </w:r>
      <w:r>
        <w:rPr>
          <w:rFonts w:ascii="Times New Roman;serif" w:hAnsi="Times New Roman;serif"/>
          <w:b w:val="false"/>
          <w:color w:val="000000"/>
          <w:sz w:val="20"/>
        </w:rPr>
        <w:t xml:space="preserve">(3.4%) increase in net sales for the three months ended June 30, 2026 was primarily due to higher sales volumes of golf equipment combined with higher TravisMathew sales, partially offset by a decrease in sales of OGIO products. The </w:t>
      </w:r>
      <w:r>
        <w:rPr>
          <w:rFonts w:ascii="Times New Roman;serif" w:hAnsi="Times New Roman;serif"/>
          <w:b w:val="false"/>
          <w:color w:val="000000"/>
          <w:sz w:val="20"/>
          <w:shd w:fill="FFFFFF" w:val="clear"/>
        </w:rPr>
        <w:t>$46.3 million</w:t>
      </w:r>
      <w:r>
        <w:rPr>
          <w:color w:val="000000"/>
        </w:rPr>
        <w:t xml:space="preserve"> </w:t>
      </w:r>
      <w:r>
        <w:rPr>
          <w:rFonts w:ascii="Times New Roman;serif" w:hAnsi="Times New Roman;serif"/>
          <w:b w:val="false"/>
          <w:color w:val="000000"/>
          <w:sz w:val="20"/>
        </w:rPr>
        <w:t>(5.7%) increase in net sales for the six months ended June 30, 2026 was primarily due to higher golf equipment and TravisMathew sales.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Europe</w:t>
      </w:r>
    </w:p>
    <w:p>
      <w:pPr>
        <w:pStyle w:val="TextBody"/>
        <w:bidi w:val="0"/>
        <w:spacing w:lineRule="auto" w:line="288" w:before="60" w:after="283"/>
        <w:ind w:left="0" w:right="0" w:firstLine="450"/>
        <w:jc w:val="both"/>
        <w:rPr/>
      </w:pP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$0.2 million</w:t>
      </w:r>
      <w:r>
        <w:rPr>
          <w:color w:val="000000"/>
        </w:rPr>
        <w:t xml:space="preserve"> </w:t>
      </w:r>
      <w:r>
        <w:rPr>
          <w:rFonts w:ascii="Times New Roman;serif" w:hAnsi="Times New Roman;serif"/>
          <w:b w:val="false"/>
          <w:color w:val="000000"/>
          <w:sz w:val="20"/>
        </w:rPr>
        <w:t>(0.3%) increase in net sales for the 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 was</w:t>
      </w:r>
      <w:r>
        <w:rPr>
          <w:color w:val="000000"/>
          <w:shd w:fill="FFFFFF" w:val="clear"/>
        </w:rPr>
        <w:t xml:space="preserve"> </w:t>
      </w:r>
      <w:r>
        <w:rPr>
          <w:rFonts w:ascii="Times New Roman;serif" w:hAnsi="Times New Roman;serif"/>
          <w:b w:val="false"/>
          <w:color w:val="000000"/>
          <w:sz w:val="20"/>
        </w:rPr>
        <w:t xml:space="preserve">primarily due to increases in golf equipment product sales. The </w:t>
      </w:r>
      <w:r>
        <w:rPr>
          <w:rFonts w:ascii="Times New Roman;serif" w:hAnsi="Times New Roman;serif"/>
          <w:b w:val="false"/>
          <w:color w:val="000000"/>
          <w:sz w:val="20"/>
          <w:shd w:fill="FFFFFF" w:val="clear"/>
        </w:rPr>
        <w:t>$19.1 million</w:t>
      </w:r>
      <w:r>
        <w:rPr>
          <w:color w:val="000000"/>
        </w:rPr>
        <w:t xml:space="preserve"> </w:t>
      </w:r>
      <w:r>
        <w:rPr>
          <w:rFonts w:ascii="Times New Roman;serif" w:hAnsi="Times New Roman;serif"/>
          <w:b w:val="false"/>
          <w:color w:val="000000"/>
          <w:sz w:val="20"/>
        </w:rPr>
        <w:t>(14.8%) increase in net sales for the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 was</w:t>
      </w:r>
      <w:r>
        <w:rPr>
          <w:color w:val="000000"/>
          <w:shd w:fill="FFFFFF" w:val="clear"/>
        </w:rPr>
        <w:t xml:space="preserve"> </w:t>
      </w:r>
      <w:r>
        <w:rPr>
          <w:rFonts w:ascii="Times New Roman;serif" w:hAnsi="Times New Roman;serif"/>
          <w:b w:val="false"/>
          <w:color w:val="000000"/>
          <w:sz w:val="20"/>
        </w:rPr>
        <w:t xml:space="preserve">primarily due to increases in golf equipment product sales from strong demand combined with the favorable impact of changes in foreign currency. </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Asia</w:t>
      </w:r>
    </w:p>
    <w:p>
      <w:pPr>
        <w:pStyle w:val="TextBody"/>
        <w:bidi w:val="0"/>
        <w:spacing w:lineRule="auto" w:line="288" w:before="60" w:after="283"/>
        <w:ind w:left="0" w:right="0" w:firstLine="450"/>
        <w:jc w:val="both"/>
        <w:rPr/>
      </w:pP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$1.6 million</w:t>
      </w:r>
      <w:r>
        <w:rPr>
          <w:color w:val="000000"/>
        </w:rPr>
        <w:t xml:space="preserve"> </w:t>
      </w:r>
      <w:r>
        <w:rPr>
          <w:rFonts w:ascii="Times New Roman;serif" w:hAnsi="Times New Roman;serif"/>
          <w:b w:val="false"/>
          <w:color w:val="000000"/>
          <w:sz w:val="20"/>
        </w:rPr>
        <w:t>(1.7%) decrease in net sales for 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2026 was </w:t>
      </w:r>
      <w:r>
        <w:rPr>
          <w:rFonts w:ascii="Times New Roman;serif" w:hAnsi="Times New Roman;serif"/>
          <w:b w:val="false"/>
          <w:color w:val="000000"/>
          <w:sz w:val="20"/>
          <w:shd w:fill="FFFFFF" w:val="clear"/>
        </w:rPr>
        <w:t>primarily due to unfavorable foreign currency impacts. On a constant currency basis, net sales increased $5.8 million (</w:t>
      </w:r>
      <w:r>
        <w:rPr>
          <w:rFonts w:ascii="Times New Roman;serif" w:hAnsi="Times New Roman;serif"/>
          <w:b w:val="false"/>
          <w:color w:val="000000"/>
          <w:sz w:val="20"/>
        </w:rPr>
        <w:t>6.3%) during the 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 primarily due to the success of new product launches.</w:t>
      </w:r>
      <w:r>
        <w:rPr>
          <w:color w:val="000000"/>
          <w:shd w:fill="FFFFFF" w:val="clear"/>
        </w:rPr>
        <w:t xml:space="preserve"> </w:t>
      </w: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$4.8 million</w:t>
      </w:r>
      <w:r>
        <w:rPr>
          <w:color w:val="000000"/>
        </w:rPr>
        <w:t xml:space="preserve"> </w:t>
      </w:r>
      <w:r>
        <w:rPr>
          <w:rFonts w:ascii="Times New Roman;serif" w:hAnsi="Times New Roman;serif"/>
          <w:b w:val="false"/>
          <w:color w:val="000000"/>
          <w:sz w:val="20"/>
        </w:rPr>
        <w:t>(2.4%) decrease in net sales for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2026 was also </w:t>
      </w:r>
      <w:r>
        <w:rPr>
          <w:rFonts w:ascii="Times New Roman;serif" w:hAnsi="Times New Roman;serif"/>
          <w:b w:val="false"/>
          <w:color w:val="000000"/>
          <w:sz w:val="20"/>
          <w:shd w:fill="FFFFFF" w:val="clear"/>
        </w:rPr>
        <w:t>primarily due to unfavorable foreign currency impacts. On a constant currency basis, net sales increased $5.0 million (</w:t>
      </w:r>
      <w:r>
        <w:rPr>
          <w:rFonts w:ascii="Times New Roman;serif" w:hAnsi="Times New Roman;serif"/>
          <w:b w:val="false"/>
          <w:color w:val="000000"/>
          <w:sz w:val="20"/>
        </w:rPr>
        <w:t>2.5%) during the 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2026 due to the success of new product launches. </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Rest of World</w:t>
      </w:r>
    </w:p>
    <w:p>
      <w:pPr>
        <w:pStyle w:val="TextBody"/>
        <w:bidi w:val="0"/>
        <w:spacing w:lineRule="auto" w:line="288" w:before="60" w:after="283"/>
        <w:ind w:left="0" w:right="0" w:firstLine="450"/>
        <w:jc w:val="both"/>
        <w:rPr/>
      </w:pPr>
      <w:r>
        <w:rPr>
          <w:rFonts w:ascii="Times New Roman;serif" w:hAnsi="Times New Roman;serif"/>
          <w:b w:val="false"/>
          <w:color w:val="000000"/>
          <w:sz w:val="20"/>
          <w:shd w:fill="FFFFFF" w:val="clear"/>
        </w:rPr>
        <w:t>The $0.4 million</w:t>
      </w:r>
      <w:r>
        <w:rPr>
          <w:color w:val="000000"/>
        </w:rPr>
        <w:t xml:space="preserve"> </w:t>
      </w:r>
      <w:r>
        <w:rPr>
          <w:rFonts w:ascii="Times New Roman;serif" w:hAnsi="Times New Roman;serif"/>
          <w:b w:val="false"/>
          <w:color w:val="000000"/>
          <w:sz w:val="20"/>
        </w:rPr>
        <w:t xml:space="preserve">(0.9%) decrease for </w:t>
      </w: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2026 was primarily due to lower golf equipment sales in Canada, partially offset by increases in other rest-of-world regions. </w:t>
      </w:r>
      <w:r>
        <w:rPr>
          <w:rFonts w:ascii="Times New Roman;serif" w:hAnsi="Times New Roman;serif"/>
          <w:b w:val="false"/>
          <w:color w:val="000000"/>
          <w:sz w:val="20"/>
          <w:shd w:fill="FFFFFF" w:val="clear"/>
        </w:rPr>
        <w:t>The $9.1 million</w:t>
      </w:r>
      <w:r>
        <w:rPr>
          <w:color w:val="000000"/>
        </w:rPr>
        <w:t xml:space="preserve"> </w:t>
      </w:r>
      <w:r>
        <w:rPr>
          <w:rFonts w:ascii="Times New Roman;serif" w:hAnsi="Times New Roman;serif"/>
          <w:b w:val="false"/>
          <w:color w:val="000000"/>
          <w:sz w:val="20"/>
        </w:rPr>
        <w:t xml:space="preserve">(10.7%) increase for </w:t>
      </w: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2026 was primarily due to higher golf equipment sales in Canada and Australia.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Gross Profit (in millions, except percentages)</w:t>
      </w:r>
    </w:p>
    <w:tbl>
      <w:tblPr>
        <w:tblW w:w="10205" w:type="dxa"/>
        <w:jc w:val="left"/>
        <w:tblInd w:w="0" w:type="dxa"/>
        <w:tblLayout w:type="fixed"/>
        <w:tblCellMar>
          <w:top w:w="28" w:type="dxa"/>
          <w:left w:w="28" w:type="dxa"/>
          <w:bottom w:w="28" w:type="dxa"/>
          <w:right w:w="28" w:type="dxa"/>
        </w:tblCellMar>
      </w:tblPr>
      <w:tblGrid>
        <w:gridCol w:w="377"/>
        <w:gridCol w:w="247"/>
        <w:gridCol w:w="250"/>
        <w:gridCol w:w="196"/>
        <w:gridCol w:w="556"/>
        <w:gridCol w:w="256"/>
        <w:gridCol w:w="109"/>
        <w:gridCol w:w="109"/>
        <w:gridCol w:w="109"/>
        <w:gridCol w:w="196"/>
        <w:gridCol w:w="556"/>
        <w:gridCol w:w="256"/>
        <w:gridCol w:w="109"/>
        <w:gridCol w:w="109"/>
        <w:gridCol w:w="109"/>
        <w:gridCol w:w="215"/>
        <w:gridCol w:w="512"/>
        <w:gridCol w:w="119"/>
        <w:gridCol w:w="232"/>
        <w:gridCol w:w="234"/>
        <w:gridCol w:w="357"/>
        <w:gridCol w:w="109"/>
        <w:gridCol w:w="109"/>
        <w:gridCol w:w="109"/>
        <w:gridCol w:w="196"/>
        <w:gridCol w:w="691"/>
        <w:gridCol w:w="256"/>
        <w:gridCol w:w="109"/>
        <w:gridCol w:w="109"/>
        <w:gridCol w:w="109"/>
        <w:gridCol w:w="196"/>
        <w:gridCol w:w="691"/>
        <w:gridCol w:w="256"/>
        <w:gridCol w:w="109"/>
        <w:gridCol w:w="109"/>
        <w:gridCol w:w="109"/>
        <w:gridCol w:w="215"/>
        <w:gridCol w:w="511"/>
        <w:gridCol w:w="119"/>
        <w:gridCol w:w="232"/>
        <w:gridCol w:w="234"/>
        <w:gridCol w:w="414"/>
      </w:tblGrid>
      <w:tr>
        <w:trPr/>
        <w:tc>
          <w:tcPr>
            <w:tcW w:w="37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8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8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Gross margin</w:t>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50.1 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43.9 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48.7 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44.5 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16610"/>
                <wp:effectExtent l="0" t="0" r="0" b="0"/>
                <wp:wrapNone/>
                <wp:docPr id="38" name="Frame38"/>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sales</w:t>
      </w:r>
    </w:p>
    <w:p>
      <w:pPr>
        <w:pStyle w:val="TextBody"/>
        <w:bidi w:val="0"/>
        <w:spacing w:lineRule="auto" w:line="288" w:before="60" w:after="283"/>
        <w:ind w:left="0" w:right="0" w:firstLine="450"/>
        <w:jc w:val="both"/>
        <w:rPr/>
      </w:pPr>
      <w:r>
        <w:rPr>
          <w:rFonts w:ascii="Times New Roman;serif" w:hAnsi="Times New Roman;serif"/>
          <w:b w:val="false"/>
          <w:color w:val="000000"/>
          <w:sz w:val="20"/>
        </w:rPr>
        <w:t>Our cost of sales is variable in nature and fluctuates relative to sales volumes. Cost of sales includes raw materials and component costs, direct labor and manufacturing overhead, inbound freight, duties, tariffs and shipping charges, and depreciation and amortization directly related to manufacturing and distribution.</w:t>
      </w:r>
      <w:r>
        <w:rPr>
          <w:color w:val="000000"/>
          <w:shd w:fill="FFFFFF" w:val="clear"/>
        </w:rPr>
        <w:t xml:space="preserve"> </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Gross profit and gross margin</w:t>
      </w:r>
    </w:p>
    <w:p>
      <w:pPr>
        <w:pStyle w:val="TextBody"/>
        <w:bidi w:val="0"/>
        <w:spacing w:lineRule="auto" w:line="288" w:before="60" w:after="283"/>
        <w:ind w:left="0" w:right="0" w:firstLine="450"/>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gross profit increased by </w:t>
      </w:r>
      <w:r>
        <w:rPr>
          <w:rFonts w:ascii="Times New Roman;serif" w:hAnsi="Times New Roman;serif"/>
          <w:b w:val="false"/>
          <w:color w:val="000000"/>
          <w:sz w:val="20"/>
        </w:rPr>
        <w:t>$43.3 million</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16.4%)</w:t>
      </w:r>
      <w:r>
        <w:rPr>
          <w:color w:val="000000"/>
          <w:shd w:fill="FFFFFF" w:val="clear"/>
        </w:rPr>
        <w:t xml:space="preserve"> </w:t>
      </w:r>
      <w:r>
        <w:rPr>
          <w:rFonts w:ascii="Times New Roman;serif" w:hAnsi="Times New Roman;serif"/>
          <w:b w:val="false"/>
          <w:color w:val="000000"/>
          <w:sz w:val="20"/>
          <w:shd w:fill="FFFFFF" w:val="clear"/>
        </w:rPr>
        <w:t>as compared to the prior year period.</w:t>
      </w:r>
      <w:r>
        <w:rPr>
          <w:color w:val="000000"/>
        </w:rPr>
        <w:t xml:space="preserve"> </w:t>
      </w:r>
      <w:r>
        <w:rPr>
          <w:rFonts w:ascii="Times New Roman;serif" w:hAnsi="Times New Roman;serif"/>
          <w:b w:val="false"/>
          <w:color w:val="000000"/>
          <w:sz w:val="20"/>
        </w:rPr>
        <w:t>Gross profit as a percent of net sales (“gross margin”) increased to 50.1% for the three months ended June 30, 2026 compared to 43.9% for the three months ended June 30, 2025.</w:t>
      </w:r>
      <w:r>
        <w:rPr>
          <w:color w:val="000000"/>
          <w:shd w:fill="FFFFFF" w:val="clear"/>
        </w:rPr>
        <w:t xml:space="preserve"> </w:t>
      </w:r>
      <w:r>
        <w:rPr>
          <w:rFonts w:ascii="Times New Roman;serif" w:hAnsi="Times New Roman;serif"/>
          <w:b w:val="false"/>
          <w:color w:val="000000"/>
          <w:sz w:val="20"/>
        </w:rPr>
        <w:t>The improvement in gross margin was due to favorable pricing and product mix, cost savings from gross margin initiatives, and the receipt of $10.8 million of tariff refunds in the current period.</w:t>
      </w:r>
    </w:p>
    <w:p>
      <w:pPr>
        <w:pStyle w:val="TextBody"/>
        <w:bidi w:val="0"/>
        <w:spacing w:lineRule="auto" w:line="288" w:before="60" w:after="283"/>
        <w:ind w:left="0" w:right="0" w:firstLine="450"/>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gross profit increased by </w:t>
      </w:r>
      <w:r>
        <w:rPr>
          <w:rFonts w:ascii="Times New Roman;serif" w:hAnsi="Times New Roman;serif"/>
          <w:b w:val="false"/>
          <w:color w:val="000000"/>
          <w:sz w:val="20"/>
        </w:rPr>
        <w:t>$86.4 million</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15.8%)</w:t>
      </w:r>
      <w:r>
        <w:rPr>
          <w:color w:val="000000"/>
          <w:shd w:fill="FFFFFF" w:val="clear"/>
        </w:rPr>
        <w:t xml:space="preserve"> </w:t>
      </w:r>
      <w:r>
        <w:rPr>
          <w:rFonts w:ascii="Times New Roman;serif" w:hAnsi="Times New Roman;serif"/>
          <w:b w:val="false"/>
          <w:color w:val="000000"/>
          <w:sz w:val="20"/>
          <w:shd w:fill="FFFFFF" w:val="clear"/>
        </w:rPr>
        <w:t>as compared to the prior year period.</w:t>
      </w:r>
      <w:r>
        <w:rPr>
          <w:color w:val="000000"/>
        </w:rPr>
        <w:t xml:space="preserve"> </w:t>
      </w:r>
      <w:r>
        <w:rPr>
          <w:rFonts w:ascii="Times New Roman;serif" w:hAnsi="Times New Roman;serif"/>
          <w:b w:val="false"/>
          <w:color w:val="000000"/>
          <w:sz w:val="20"/>
        </w:rPr>
        <w:t>Gross margin increased to 48.7% for the six months ended June 30, 2026 compared to 44.5% for the six months ended June 30, 2025.</w:t>
      </w:r>
      <w:r>
        <w:rPr>
          <w:color w:val="000000"/>
          <w:shd w:fill="FFFFFF" w:val="clear"/>
        </w:rPr>
        <w:t xml:space="preserve"> </w:t>
      </w:r>
      <w:r>
        <w:rPr>
          <w:rFonts w:ascii="Times New Roman;serif" w:hAnsi="Times New Roman;serif"/>
          <w:b w:val="false"/>
          <w:color w:val="000000"/>
          <w:sz w:val="20"/>
        </w:rPr>
        <w:t>The improvement in gross margin was due to favorable</w:t>
      </w:r>
      <w:r>
        <w:rPr>
          <w:color w:val="000000"/>
          <w:shd w:fill="FFFFFF" w:val="clear"/>
        </w:rPr>
        <w:t xml:space="preserve"> </w:t>
      </w:r>
      <w:r>
        <w:rPr>
          <w:rFonts w:ascii="Times New Roman;serif" w:hAnsi="Times New Roman;serif"/>
          <w:b w:val="false"/>
          <w:color w:val="000000"/>
          <w:sz w:val="20"/>
          <w:shd w:fill="FFFFFF" w:val="clear"/>
        </w:rPr>
        <w:t xml:space="preserve">pricing and product mix, cost savings from gross margin initiatives and </w:t>
      </w:r>
      <w:r>
        <w:rPr>
          <w:rFonts w:ascii="Times New Roman;serif" w:hAnsi="Times New Roman;serif"/>
          <w:b w:val="false"/>
          <w:color w:val="000000"/>
          <w:sz w:val="20"/>
        </w:rPr>
        <w:t>the receipt of $10.8 million of tariff refunds in the current period, partially offset by</w:t>
      </w:r>
      <w:r>
        <w:rPr>
          <w:color w:val="000000"/>
          <w:shd w:fill="FFFFFF" w:val="clear"/>
        </w:rPr>
        <w:t xml:space="preserve"> </w:t>
      </w:r>
      <w:r>
        <w:rPr>
          <w:rFonts w:ascii="Times New Roman;serif" w:hAnsi="Times New Roman;serif"/>
          <w:b w:val="false"/>
          <w:color w:val="000000"/>
          <w:sz w:val="20"/>
          <w:shd w:fill="FFFFFF" w:val="clear"/>
        </w:rPr>
        <w:t xml:space="preserve">higher overall impacts of incremental tariffs compared to the prior year. </w:t>
      </w:r>
    </w:p>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Operating Expenses (in millions, except percentages)</w:t>
      </w:r>
    </w:p>
    <w:tbl>
      <w:tblPr>
        <w:tblW w:w="10205" w:type="dxa"/>
        <w:jc w:val="left"/>
        <w:tblInd w:w="0" w:type="dxa"/>
        <w:tblLayout w:type="fixed"/>
        <w:tblCellMar>
          <w:top w:w="28" w:type="dxa"/>
          <w:left w:w="28" w:type="dxa"/>
          <w:bottom w:w="28" w:type="dxa"/>
          <w:right w:w="28" w:type="dxa"/>
        </w:tblCellMar>
      </w:tblPr>
      <w:tblGrid>
        <w:gridCol w:w="657"/>
        <w:gridCol w:w="397"/>
        <w:gridCol w:w="382"/>
        <w:gridCol w:w="199"/>
        <w:gridCol w:w="565"/>
        <w:gridCol w:w="110"/>
        <w:gridCol w:w="110"/>
        <w:gridCol w:w="110"/>
        <w:gridCol w:w="110"/>
        <w:gridCol w:w="199"/>
        <w:gridCol w:w="565"/>
        <w:gridCol w:w="110"/>
        <w:gridCol w:w="109"/>
        <w:gridCol w:w="109"/>
        <w:gridCol w:w="109"/>
        <w:gridCol w:w="196"/>
        <w:gridCol w:w="377"/>
        <w:gridCol w:w="109"/>
        <w:gridCol w:w="109"/>
        <w:gridCol w:w="109"/>
        <w:gridCol w:w="109"/>
        <w:gridCol w:w="188"/>
        <w:gridCol w:w="188"/>
        <w:gridCol w:w="357"/>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199"/>
        <w:gridCol w:w="200"/>
        <w:gridCol w:w="422"/>
      </w:tblGrid>
      <w:tr>
        <w:trPr/>
        <w:tc>
          <w:tcPr>
            <w:tcW w:w="65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Selling, general and administrative expense</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(“SG&amp;A”) expenses primarily consist of employee costs, advertising and promotional expense, legal and professional fees, tour expenses, travel expenses, building and rent expenses, depreciation and amortization charges and other miscellaneous expenses.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$2.4 million (1.4%) increase in SG&amp;A expenses for the three months ended June 30, 2026 was primarily due to a $2.9 million increase in advertising and promotional expenses driven largely by the timing of advertising spend and $1.5 million of impairment charges related to the planned closure of certain underperforming TravisMathew retail locations, partially offset by reduced employee costs from cost savings initiatives and lower tour expenses.</w:t>
      </w:r>
    </w:p>
    <w:p>
      <w:pPr>
        <w:pStyle w:val="TextBody"/>
        <w:bidi w:val="0"/>
        <w:spacing w:lineRule="auto" w:line="288" w:before="120" w:after="283"/>
        <w:ind w:left="0" w:right="0" w:firstLine="495"/>
        <w:jc w:val="both"/>
        <w:rPr/>
      </w:pPr>
      <w:r>
        <w:rPr>
          <w:rFonts w:ascii="Times New Roman;serif" w:hAnsi="Times New Roman;serif"/>
          <w:b w:val="false"/>
          <w:color w:val="000000"/>
          <w:sz w:val="20"/>
        </w:rPr>
        <w:t xml:space="preserve">The $11.1 million (3.3%) increase in SG&amp;A expenses for </w:t>
      </w: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was primarily due to a $12.0 million gain recognized from a lease termination incentive in the first quarter of 2025, which did not recur in 2026, combined with impairment charges on retail assets at TravisMathew, losses on asset disposals, and higher legal costs, partially offset by</w:t>
      </w:r>
      <w:r>
        <w:rPr>
          <w:color w:val="000000"/>
        </w:rPr>
        <w:t xml:space="preserve"> </w:t>
      </w:r>
      <w:r>
        <w:rPr>
          <w:rFonts w:ascii="Times New Roman;serif" w:hAnsi="Times New Roman;serif"/>
          <w:b w:val="false"/>
          <w:color w:val="000000"/>
          <w:sz w:val="20"/>
        </w:rPr>
        <w:t xml:space="preserve">lower advertising spend due to the timing of planned advertising activities, </w:t>
      </w:r>
      <w:r>
        <w:rPr>
          <w:rFonts w:ascii="Times New Roman;serif" w:hAnsi="Times New Roman;serif"/>
          <w:b w:val="false"/>
          <w:color w:val="000000"/>
          <w:sz w:val="20"/>
          <w:shd w:fill="FFFFFF" w:val="clear"/>
        </w:rPr>
        <w:t xml:space="preserve">decreased tour expenses, and a decrease in depreciation and amortization. </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Research and development expense</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are comprised of costs to design, develop, test or improve our products and technology, and primarily include employee costs of personnel engaged in research and development activities, research costs and depreciation expense.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$0.4 million (2.6%) increase in research and development expenses for the three months ended June 30, 2026 was primarily due to an increase in computer software costs and professional fees.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$0.3 million (1.0%) decrease in research and development expenses for the six months ended June 30, 2026 was primarily due to cost savings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16610"/>
                <wp:effectExtent l="0" t="0" r="0" b="0"/>
                <wp:wrapNone/>
                <wp:docPr id="39" name="Frame39"/>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Other Income and Expense (in millions, except percentages)</w:t>
      </w:r>
    </w:p>
    <w:tbl>
      <w:tblPr>
        <w:tblW w:w="10205" w:type="dxa"/>
        <w:jc w:val="left"/>
        <w:tblInd w:w="0" w:type="dxa"/>
        <w:tblLayout w:type="fixed"/>
        <w:tblCellMar>
          <w:top w:w="28" w:type="dxa"/>
          <w:left w:w="28" w:type="dxa"/>
          <w:bottom w:w="28" w:type="dxa"/>
          <w:right w:w="28" w:type="dxa"/>
        </w:tblCellMar>
      </w:tblPr>
      <w:tblGrid>
        <w:gridCol w:w="494"/>
        <w:gridCol w:w="407"/>
        <w:gridCol w:w="409"/>
        <w:gridCol w:w="206"/>
        <w:gridCol w:w="432"/>
        <w:gridCol w:w="114"/>
        <w:gridCol w:w="114"/>
        <w:gridCol w:w="114"/>
        <w:gridCol w:w="114"/>
        <w:gridCol w:w="206"/>
        <w:gridCol w:w="527"/>
        <w:gridCol w:w="114"/>
        <w:gridCol w:w="109"/>
        <w:gridCol w:w="109"/>
        <w:gridCol w:w="109"/>
        <w:gridCol w:w="196"/>
        <w:gridCol w:w="466"/>
        <w:gridCol w:w="109"/>
        <w:gridCol w:w="109"/>
        <w:gridCol w:w="109"/>
        <w:gridCol w:w="109"/>
        <w:gridCol w:w="248"/>
        <w:gridCol w:w="250"/>
        <w:gridCol w:w="357"/>
        <w:gridCol w:w="109"/>
        <w:gridCol w:w="109"/>
        <w:gridCol w:w="109"/>
        <w:gridCol w:w="197"/>
        <w:gridCol w:w="502"/>
        <w:gridCol w:w="109"/>
        <w:gridCol w:w="109"/>
        <w:gridCol w:w="109"/>
        <w:gridCol w:w="109"/>
        <w:gridCol w:w="197"/>
        <w:gridCol w:w="502"/>
        <w:gridCol w:w="109"/>
        <w:gridCol w:w="109"/>
        <w:gridCol w:w="109"/>
        <w:gridCol w:w="109"/>
        <w:gridCol w:w="196"/>
        <w:gridCol w:w="466"/>
        <w:gridCol w:w="109"/>
        <w:gridCol w:w="109"/>
        <w:gridCol w:w="109"/>
        <w:gridCol w:w="109"/>
        <w:gridCol w:w="277"/>
        <w:gridCol w:w="279"/>
        <w:gridCol w:w="423"/>
      </w:tblGrid>
      <w:tr>
        <w:trPr/>
        <w:tc>
          <w:tcPr>
            <w:tcW w:w="49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r>
      <w:tr>
        <w:trPr/>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and expenses:</w:t>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income/expense</w:t>
      </w:r>
    </w:p>
    <w:p>
      <w:pPr>
        <w:pStyle w:val="TextBody"/>
        <w:bidi w:val="0"/>
        <w:spacing w:lineRule="auto" w:line="288" w:before="6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decreases in interest expense, net for the three and six months ended June 30, 2026 were primarily due to lower interest expense on our term loan as a result of the partial repayment on January 2, 2026 in connection with completion of the sale of Topgolf and its full repayment on May 29, 2026. </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Other income/expense</w:t>
      </w:r>
    </w:p>
    <w:p>
      <w:pPr>
        <w:pStyle w:val="TextBody"/>
        <w:bidi w:val="0"/>
        <w:spacing w:lineRule="auto" w:line="288" w:before="6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$1.8 million increase in other income (expense), net for the three months ended June 30, 2026 was primarily due to a $4.5 million favorable change in foreign currency transactions and hedging activity and $1.1 million of income from transition services provided to Topgolf, partially offset by a $2.3 million write-off of unamortized debt issuance costs in connection with the full repayment of the term loan and a $0.7 million decrease in dividend income on our money market accounts due to lower average balances resulting from funds being used for debt repayments and stock repurchases. </w:t>
      </w:r>
    </w:p>
    <w:p>
      <w:pPr>
        <w:pStyle w:val="TextBody"/>
        <w:bidi w:val="0"/>
        <w:spacing w:lineRule="auto" w:line="288" w:before="6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$2.3 million (115.0%) increase in other income (expense), net for the six months ended June 30, 2026 was primarily due to a $5.0 million favorable change in foreign currency transactions and hedging activity, a $4.3 million remeasurement gain on our investment in Five Iron Golf, $2.3 million of income from transition services provided to Topgolf, and $1.3 million of higher dividend income on our money market accounts due to higher average balances for the year-to-date period, partially offset by a $9.8 million write-off of unamortized debt issuance costs in connection with the repayment of the term loan mentioned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Income (Loss) from Equity Method Investments (in millions, except percentages)</w:t>
      </w:r>
    </w:p>
    <w:tbl>
      <w:tblPr>
        <w:tblW w:w="10205" w:type="dxa"/>
        <w:jc w:val="left"/>
        <w:tblInd w:w="0" w:type="dxa"/>
        <w:tblLayout w:type="fixed"/>
        <w:tblCellMar>
          <w:top w:w="28" w:type="dxa"/>
          <w:left w:w="28" w:type="dxa"/>
          <w:bottom w:w="28" w:type="dxa"/>
          <w:right w:w="28" w:type="dxa"/>
        </w:tblCellMar>
      </w:tblPr>
      <w:tblGrid>
        <w:gridCol w:w="659"/>
        <w:gridCol w:w="579"/>
        <w:gridCol w:w="581"/>
        <w:gridCol w:w="213"/>
        <w:gridCol w:w="453"/>
        <w:gridCol w:w="118"/>
        <w:gridCol w:w="118"/>
        <w:gridCol w:w="118"/>
        <w:gridCol w:w="118"/>
        <w:gridCol w:w="213"/>
        <w:gridCol w:w="443"/>
        <w:gridCol w:w="118"/>
        <w:gridCol w:w="109"/>
        <w:gridCol w:w="109"/>
        <w:gridCol w:w="109"/>
        <w:gridCol w:w="200"/>
        <w:gridCol w:w="423"/>
        <w:gridCol w:w="111"/>
        <w:gridCol w:w="111"/>
        <w:gridCol w:w="111"/>
        <w:gridCol w:w="111"/>
        <w:gridCol w:w="220"/>
        <w:gridCol w:w="220"/>
        <w:gridCol w:w="221"/>
        <w:gridCol w:w="109"/>
        <w:gridCol w:w="109"/>
        <w:gridCol w:w="109"/>
        <w:gridCol w:w="202"/>
        <w:gridCol w:w="520"/>
        <w:gridCol w:w="112"/>
        <w:gridCol w:w="112"/>
        <w:gridCol w:w="112"/>
        <w:gridCol w:w="112"/>
        <w:gridCol w:w="202"/>
        <w:gridCol w:w="419"/>
        <w:gridCol w:w="112"/>
        <w:gridCol w:w="109"/>
        <w:gridCol w:w="109"/>
        <w:gridCol w:w="109"/>
        <w:gridCol w:w="196"/>
        <w:gridCol w:w="503"/>
        <w:gridCol w:w="109"/>
        <w:gridCol w:w="109"/>
        <w:gridCol w:w="109"/>
        <w:gridCol w:w="109"/>
        <w:gridCol w:w="206"/>
        <w:gridCol w:w="206"/>
        <w:gridCol w:w="315"/>
      </w:tblGrid>
      <w:tr>
        <w:trPr/>
        <w:tc>
          <w:tcPr>
            <w:tcW w:w="65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equity method investments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bl>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Income (loss) from equity method investments</w:t>
      </w:r>
    </w:p>
    <w:p>
      <w:pPr>
        <w:pStyle w:val="TextBody"/>
        <w:bidi w:val="0"/>
        <w:spacing w:lineRule="auto" w:line="288" w:before="60" w:after="283"/>
        <w:ind w:left="0" w:right="0" w:firstLine="495"/>
        <w:jc w:val="both"/>
        <w:rPr/>
      </w:pPr>
      <w:r>
        <w:rPr>
          <w:rFonts w:ascii="Times New Roman;serif" w:hAnsi="Times New Roman;serif"/>
          <w:b w:val="false"/>
          <w:color w:val="000000"/>
          <w:sz w:val="20"/>
        </w:rPr>
        <w:t>The $1.0 million and $28.7 million loss during the three and six months ended June 30, 2026, respectively, represents</w:t>
      </w:r>
      <w:r>
        <w:rPr>
          <w:color w:val="000000"/>
          <w:shd w:fill="FFFFFF" w:val="clear"/>
        </w:rPr>
        <w:t xml:space="preserve"> </w:t>
      </w:r>
      <w:r>
        <w:rPr>
          <w:rFonts w:ascii="Times New Roman;serif" w:hAnsi="Times New Roman;serif"/>
          <w:b w:val="false"/>
          <w:color w:val="000000"/>
          <w:sz w:val="20"/>
          <w:shd w:fill="FFFFFF" w:val="clear"/>
        </w:rPr>
        <w:t xml:space="preserve">our </w:t>
      </w:r>
      <w:r>
        <w:rPr>
          <w:rFonts w:ascii="Times New Roman;serif" w:hAnsi="Times New Roman;serif"/>
          <w:b w:val="false"/>
          <w:color w:val="000000"/>
          <w:sz w:val="20"/>
        </w:rPr>
        <w:t>proportionate share of Topgolf’s net losses following the completion of the sale of a majority interest in the business effective January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Income Taxes (in millions, except percentages)</w:t>
      </w:r>
    </w:p>
    <w:tbl>
      <w:tblPr>
        <w:tblW w:w="10205" w:type="dxa"/>
        <w:jc w:val="left"/>
        <w:tblInd w:w="0" w:type="dxa"/>
        <w:tblLayout w:type="fixed"/>
        <w:tblCellMar>
          <w:top w:w="28" w:type="dxa"/>
          <w:left w:w="28" w:type="dxa"/>
          <w:bottom w:w="28" w:type="dxa"/>
          <w:right w:w="28" w:type="dxa"/>
        </w:tblCellMar>
      </w:tblPr>
      <w:tblGrid>
        <w:gridCol w:w="469"/>
        <w:gridCol w:w="412"/>
        <w:gridCol w:w="416"/>
        <w:gridCol w:w="210"/>
        <w:gridCol w:w="499"/>
        <w:gridCol w:w="116"/>
        <w:gridCol w:w="116"/>
        <w:gridCol w:w="116"/>
        <w:gridCol w:w="116"/>
        <w:gridCol w:w="210"/>
        <w:gridCol w:w="499"/>
        <w:gridCol w:w="116"/>
        <w:gridCol w:w="109"/>
        <w:gridCol w:w="109"/>
        <w:gridCol w:w="109"/>
        <w:gridCol w:w="196"/>
        <w:gridCol w:w="466"/>
        <w:gridCol w:w="109"/>
        <w:gridCol w:w="109"/>
        <w:gridCol w:w="109"/>
        <w:gridCol w:w="109"/>
        <w:gridCol w:w="278"/>
        <w:gridCol w:w="278"/>
        <w:gridCol w:w="357"/>
        <w:gridCol w:w="109"/>
        <w:gridCol w:w="109"/>
        <w:gridCol w:w="109"/>
        <w:gridCol w:w="203"/>
        <w:gridCol w:w="483"/>
        <w:gridCol w:w="112"/>
        <w:gridCol w:w="112"/>
        <w:gridCol w:w="112"/>
        <w:gridCol w:w="112"/>
        <w:gridCol w:w="203"/>
        <w:gridCol w:w="483"/>
        <w:gridCol w:w="112"/>
        <w:gridCol w:w="109"/>
        <w:gridCol w:w="109"/>
        <w:gridCol w:w="109"/>
        <w:gridCol w:w="196"/>
        <w:gridCol w:w="466"/>
        <w:gridCol w:w="109"/>
        <w:gridCol w:w="109"/>
        <w:gridCol w:w="109"/>
        <w:gridCol w:w="109"/>
        <w:gridCol w:w="233"/>
        <w:gridCol w:w="233"/>
        <w:gridCol w:w="422"/>
      </w:tblGrid>
      <w:tr>
        <w:trPr/>
        <w:tc>
          <w:tcPr>
            <w:tcW w:w="46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(benefit)</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Income tax expense</w:t>
      </w:r>
    </w:p>
    <w:p>
      <w:pPr>
        <w:pStyle w:val="TextBody"/>
        <w:bidi w:val="0"/>
        <w:spacing w:lineRule="auto" w:line="288" w:before="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$21.7 million and $27.2 million increases in income tax expense for the three and six months ended June 30, 2026, respectively, were primarily due to higher pre</w:t>
        <w:noBreakHyphen/>
        <w:t>tax earnings, as well as the tax impacts from our investment in Topgolf. As a percentage of pre-tax income, our effective tax rate for the three months ended June 30, 2026 increased to 31.5% compared to 22.4% in the comparable period of 2025. As a percentage of pre-tax income, our effective tax rate for the six months ended June 30, 2026 increased to 30.9% compared to 27.0% in the comparable period of 2025. The increases in our effective tax rate for the three and six months ended June 30, 2026, respectively, were primarily due to impacts of valuation allowances related to our investment in Topgolf combined with our global mix of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16610"/>
                <wp:effectExtent l="0" t="0" r="0" b="0"/>
                <wp:wrapNone/>
                <wp:docPr id="40" name="Frame40"/>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Net Income, Diluted Earnings Per Share and Reconciliation of Non-GAAP Measures</w:t>
      </w:r>
    </w:p>
    <w:p>
      <w:pPr>
        <w:pStyle w:val="TextBody"/>
        <w:bidi w:val="0"/>
        <w:spacing w:lineRule="auto" w:line="288" w:before="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our GAAP results for the three months ended June 30, 2026 and 2025 to our non-GAAP results for the same periods (in millions, except per share information):</w:t>
      </w:r>
    </w:p>
    <w:tbl>
      <w:tblPr>
        <w:tblW w:w="10205" w:type="dxa"/>
        <w:jc w:val="left"/>
        <w:tblInd w:w="0" w:type="dxa"/>
        <w:tblLayout w:type="fixed"/>
        <w:tblCellMar>
          <w:top w:w="28" w:type="dxa"/>
          <w:left w:w="28" w:type="dxa"/>
          <w:bottom w:w="28" w:type="dxa"/>
          <w:right w:w="28" w:type="dxa"/>
        </w:tblCellMar>
      </w:tblPr>
      <w:tblGrid>
        <w:gridCol w:w="1228"/>
        <w:gridCol w:w="524"/>
        <w:gridCol w:w="526"/>
        <w:gridCol w:w="249"/>
        <w:gridCol w:w="593"/>
        <w:gridCol w:w="138"/>
        <w:gridCol w:w="138"/>
        <w:gridCol w:w="138"/>
        <w:gridCol w:w="138"/>
        <w:gridCol w:w="320"/>
        <w:gridCol w:w="762"/>
        <w:gridCol w:w="177"/>
        <w:gridCol w:w="127"/>
        <w:gridCol w:w="127"/>
        <w:gridCol w:w="127"/>
        <w:gridCol w:w="249"/>
        <w:gridCol w:w="593"/>
        <w:gridCol w:w="138"/>
        <w:gridCol w:w="138"/>
        <w:gridCol w:w="138"/>
        <w:gridCol w:w="138"/>
        <w:gridCol w:w="320"/>
        <w:gridCol w:w="762"/>
        <w:gridCol w:w="177"/>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9"/>
      </w:tblGrid>
      <w:tr>
        <w:trPr/>
        <w:tc>
          <w:tcPr>
            <w:tcW w:w="122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Diluted Earnings per share</w:t>
            </w:r>
            <w:r>
              <w:rPr>
                <w:rFonts w:ascii="Times New Roman;serif" w:hAnsi="Times New Roman;serif"/>
                <w:b/>
                <w:color w:val="000000"/>
                <w:sz w:val="10"/>
              </w:rPr>
              <w:t>(5)(6)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Diluted Earnings per share</w:t>
            </w:r>
            <w:r>
              <w:rPr>
                <w:rFonts w:ascii="Times New Roman;serif" w:hAnsi="Times New Roman;serif"/>
                <w:b/>
                <w:color w:val="000000"/>
                <w:sz w:val="10"/>
              </w:rPr>
              <w:t>(5)(6)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GAAP net income (loss) from continuing operations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Non-cash amortization of acquired intangibles</w:t>
            </w:r>
            <w:r>
              <w:rPr>
                <w:rFonts w:ascii="Times New Roman;serif" w:hAnsi="Times New Roman;serif"/>
                <w:b w:val="false"/>
                <w:color w:val="000000"/>
                <w:sz w:val="12"/>
              </w:rPr>
              <w:t>(1)</w:t>
            </w:r>
          </w:p>
        </w:tc>
        <w:tc>
          <w:tcPr>
            <w:tcW w:w="9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Interest income (expense) and non-recurring items</w:t>
            </w:r>
            <w:r>
              <w:rPr>
                <w:rFonts w:ascii="Times New Roman;serif" w:hAnsi="Times New Roman;serif"/>
                <w:b w:val="false"/>
                <w:color w:val="000000"/>
                <w:sz w:val="12"/>
              </w:rPr>
              <w:t>(2)(3)</w:t>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Income (loss) from equity method investments</w:t>
            </w:r>
            <w:r>
              <w:rPr>
                <w:rFonts w:ascii="Times New Roman;serif" w:hAnsi="Times New Roman;serif"/>
                <w:b w:val="false"/>
                <w:color w:val="000000"/>
                <w:sz w:val="12"/>
              </w:rPr>
              <w:t>(4)</w:t>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Non-GAAP net income (loss) from continuing operations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diluted weighted-average shares outstanding</w:t>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90"/>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diluted weighted-average shares outstanding</w:t>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965" w:type="dxa"/>
            <w:gridSpan w:val="24"/>
            <w:tcBorders/>
            <w:tcMar>
              <w:top w:w="0" w:type="dxa"/>
              <w:left w:w="0" w:type="dxa"/>
              <w:bottom w:w="0" w:type="dxa"/>
              <w:right w:w="0" w:type="dxa"/>
            </w:tcMar>
            <w:vAlign w:val="center"/>
          </w:tcPr>
          <w:p>
            <w:pPr>
              <w:pStyle w:val="TableContents"/>
              <w:bidi w:val="0"/>
              <w:spacing w:lineRule="auto" w:line="240" w:before="40" w:after="283"/>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Includes the amortization of acquired intangible assets, including customer and distributor relationships, reacquired distribution rights and acquired developed technology related to our Acquisitions. See “Discussion of Non-GAAP Measures” for more information.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965" w:type="dxa"/>
            <w:gridSpan w:val="24"/>
            <w:tcBorders/>
            <w:tcMar>
              <w:top w:w="0" w:type="dxa"/>
              <w:left w:w="0" w:type="dxa"/>
              <w:bottom w:w="0" w:type="dxa"/>
              <w:right w:w="0" w:type="dxa"/>
            </w:tcMar>
            <w:vAlign w:val="center"/>
          </w:tcPr>
          <w:p>
            <w:pPr>
              <w:pStyle w:val="TableContents"/>
              <w:bidi w:val="0"/>
              <w:spacing w:lineRule="auto" w:line="240" w:before="40" w:after="283"/>
              <w:ind w:left="0" w:right="0" w:hanging="18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In 2026, amounts primarily include $10.8 million of tariff refunds, partially offset by the $2.3 million write-off of debt issuance costs associated with the full repayment of the term loan in May 2026, $0.6 million of costs related to the relocation to a new UK warehouse as a result of the sale of the Jack Wolfskin business in 2025, and $0.4 million of restructuring charges related to the Transformation Plan. In addition, for 2026, non-recurring items include $1.1 million of costs incurred under the Transition Services Agreement with Topgolf, which are offset by $1.1 million of cost recovery fees received from Topgolf related to these transition services.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96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In 2025, amounts primarily include $0.5 million of restructuring charges related to the Transformation Plan. In addition, $9.6 million of term loan interest expense incurred at the corporate level and included in discontinued operations on a GAAP basis is reflected as part of continuing operations on a non-GAAP basis in order to show the full effect of consolidated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7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gridSpan w:val="7"/>
            <w:tcBorders/>
          </w:tcPr>
          <w:p>
            <w:pPr>
              <w:pStyle w:val="TableContents"/>
              <w:bidi w:val="0"/>
              <w:spacing w:before="0" w:after="283"/>
              <w:jc w:val="left"/>
              <w:rPr>
                <w:sz w:val="4"/>
                <w:szCs w:val="4"/>
              </w:rPr>
            </w:pPr>
            <w:r>
              <w:rPr>
                <w:sz w:val="4"/>
                <w:szCs w:val="4"/>
              </w:rPr>
            </w:r>
          </w:p>
        </w:tc>
      </w:tr>
      <w:tr>
        <w:trPr/>
        <w:tc>
          <w:tcPr>
            <w:tcW w:w="7965"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In 2026, amounts include our $1.0 million proportionate share of Topgolf’s net losses combined with $1.9 million of unfavorable tax impacts.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965"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 xml:space="preserve">(5) </w:t>
            </w:r>
            <w:r>
              <w:rPr>
                <w:rFonts w:ascii="Times New Roman;serif" w:hAnsi="Times New Roman;serif"/>
                <w:b w:val="false"/>
                <w:color w:val="000000"/>
                <w:sz w:val="16"/>
              </w:rPr>
              <w:t xml:space="preserve">The effect of the Convertible Notes on diluted earnings per share is calculated using the if-converted method, which excludes interest expense related to the Convertible Notes from the calculation of net income through the cash settlement date of May 1, 2026.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965"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When aggregated, diluted earnings per share amounts may not be additive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GAAP net income from continuing operations</w:t>
      </w:r>
    </w:p>
    <w:p>
      <w:pPr>
        <w:pStyle w:val="TextBody"/>
        <w:bidi w:val="0"/>
        <w:spacing w:lineRule="auto" w:line="288" w:before="60" w:after="283"/>
        <w:ind w:left="0" w:right="0" w:firstLine="495"/>
        <w:jc w:val="both"/>
        <w:rPr/>
      </w:pPr>
      <w:r>
        <w:rPr>
          <w:rFonts w:ascii="Times New Roman;serif" w:hAnsi="Times New Roman;serif"/>
          <w:b w:val="false"/>
          <w:color w:val="000000"/>
          <w:sz w:val="20"/>
          <w:shd w:fill="FFFFFF" w:val="clear"/>
        </w:rPr>
        <w:t xml:space="preserve">Net income from continuing operations and diluted earnings per share for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June 30, 2026 were $75.8 million and </w:t>
      </w:r>
      <w:r>
        <w:rPr>
          <w:rFonts w:ascii="Times New Roman;serif" w:hAnsi="Times New Roman;serif"/>
          <w:b w:val="false"/>
          <w:color w:val="000000"/>
          <w:sz w:val="20"/>
        </w:rPr>
        <w:t>$0.40 per share, respectively,</w:t>
      </w:r>
      <w:r>
        <w:rPr>
          <w:color w:val="000000"/>
          <w:shd w:fill="FFFFFF" w:val="clear"/>
        </w:rPr>
        <w:t xml:space="preserve"> </w:t>
      </w:r>
      <w:r>
        <w:rPr>
          <w:rFonts w:ascii="Times New Roman;serif" w:hAnsi="Times New Roman;serif"/>
          <w:b w:val="false"/>
          <w:color w:val="000000"/>
          <w:sz w:val="20"/>
          <w:shd w:fill="FFFFFF" w:val="clear"/>
        </w:rPr>
        <w:t>as compared to net income from continuing operations and diluted earnings per share of $45.5 million</w:t>
      </w:r>
      <w:r>
        <w:rPr>
          <w:color w:val="000000"/>
        </w:rPr>
        <w:t xml:space="preserve"> </w:t>
      </w:r>
      <w:r>
        <w:rPr>
          <w:rFonts w:ascii="Times New Roman;serif" w:hAnsi="Times New Roman;serif"/>
          <w:b w:val="false"/>
          <w:color w:val="000000"/>
          <w:sz w:val="20"/>
        </w:rPr>
        <w:t>and $0.24 per share, respectively, for the</w:t>
      </w:r>
      <w:r>
        <w:rPr>
          <w:color w:val="000000"/>
          <w:shd w:fill="FFFFFF" w:val="clear"/>
        </w:rPr>
        <w:t xml:space="preserv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June 30, 2025. These increases were primarily driven by a $28.2 million increase in segment operating income combined with the recognition of $10.8 million related to the tariff refunds in the current quarter and a reduction in interest expense resulting from the full repayment of our term loan debt. These increases were partially offset by an increase in the income tax provision and the loss recognized from our equity method investment in Topgolf. </w:t>
      </w:r>
    </w:p>
    <w:p>
      <w:pPr>
        <w:pStyle w:val="TextBody"/>
        <w:bidi w:val="0"/>
        <w:spacing w:lineRule="auto" w:line="288" w:before="120" w:after="283"/>
        <w:ind w:left="0" w:right="0" w:firstLine="495"/>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Non-GAAP net income from continuing operations</w:t>
      </w:r>
    </w:p>
    <w:p>
      <w:pPr>
        <w:pStyle w:val="TextBody"/>
        <w:bidi w:val="0"/>
        <w:spacing w:lineRule="auto" w:line="288" w:before="120" w:after="283"/>
        <w:ind w:left="0" w:right="0" w:firstLine="495"/>
        <w:jc w:val="both"/>
        <w:rPr/>
      </w:pPr>
      <w:r>
        <w:rPr>
          <w:rFonts w:ascii="Times New Roman;serif" w:hAnsi="Times New Roman;serif"/>
          <w:b w:val="false"/>
          <w:color w:val="000000"/>
          <w:sz w:val="20"/>
          <w:shd w:fill="FFFFFF" w:val="clear"/>
        </w:rPr>
        <w:t xml:space="preserve">On a non-GAAP basis, excluding the items described in the table above, our net income from continuing operations and diluted earnings per share for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June 30, 2026 would have been $73.8 million and </w:t>
      </w:r>
      <w:r>
        <w:rPr>
          <w:rFonts w:ascii="Times New Roman;serif" w:hAnsi="Times New Roman;serif"/>
          <w:b w:val="false"/>
          <w:color w:val="000000"/>
          <w:sz w:val="20"/>
        </w:rPr>
        <w:t>$0.39 per share, respectively,</w:t>
      </w:r>
      <w:r>
        <w:rPr>
          <w:color w:val="000000"/>
          <w:shd w:fill="FFFFFF" w:val="clear"/>
        </w:rPr>
        <w:t xml:space="preserve"> </w:t>
      </w:r>
      <w:r>
        <w:rPr>
          <w:rFonts w:ascii="Times New Roman;serif" w:hAnsi="Times New Roman;serif"/>
          <w:b w:val="false"/>
          <w:color w:val="000000"/>
          <w:sz w:val="20"/>
          <w:shd w:fill="FFFFFF" w:val="clear"/>
        </w:rPr>
        <w:t>as compared to net income from continuing operations and diluted earnings per share of $38.9 million</w:t>
      </w:r>
      <w:r>
        <w:rPr>
          <w:color w:val="000000"/>
        </w:rPr>
        <w:t xml:space="preserve"> </w:t>
      </w:r>
      <w:r>
        <w:rPr>
          <w:rFonts w:ascii="Times New Roman;serif" w:hAnsi="Times New Roman;serif"/>
          <w:b w:val="false"/>
          <w:color w:val="000000"/>
          <w:sz w:val="20"/>
        </w:rPr>
        <w:t>and $0.20 per share, respectively, for the</w:t>
      </w:r>
      <w:r>
        <w:rPr>
          <w:color w:val="000000"/>
          <w:shd w:fill="FFFFFF" w:val="clear"/>
        </w:rPr>
        <w:t xml:space="preserv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June 30, 2025. The increase in non-GAAP net income from continuing operations was primarily due to a $28.2 million increase in segment operating income combined with lower interest expense, partially offset by an increase in the income tax provision.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16610"/>
                <wp:effectExtent l="0" t="0" r="0" b="0"/>
                <wp:wrapNone/>
                <wp:docPr id="41" name="Frame41"/>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6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our GAAP results for the six months ended June 30, 2026 and 2025 to our non-GAAP results for the same periods (in millions, except per share information):</w:t>
      </w:r>
    </w:p>
    <w:tbl>
      <w:tblPr>
        <w:tblW w:w="10205" w:type="dxa"/>
        <w:jc w:val="left"/>
        <w:tblInd w:w="0" w:type="dxa"/>
        <w:tblLayout w:type="fixed"/>
        <w:tblCellMar>
          <w:top w:w="28" w:type="dxa"/>
          <w:left w:w="28" w:type="dxa"/>
          <w:bottom w:w="28" w:type="dxa"/>
          <w:right w:w="28" w:type="dxa"/>
        </w:tblCellMar>
      </w:tblPr>
      <w:tblGrid>
        <w:gridCol w:w="1214"/>
        <w:gridCol w:w="501"/>
        <w:gridCol w:w="504"/>
        <w:gridCol w:w="240"/>
        <w:gridCol w:w="683"/>
        <w:gridCol w:w="133"/>
        <w:gridCol w:w="133"/>
        <w:gridCol w:w="133"/>
        <w:gridCol w:w="133"/>
        <w:gridCol w:w="312"/>
        <w:gridCol w:w="743"/>
        <w:gridCol w:w="173"/>
        <w:gridCol w:w="127"/>
        <w:gridCol w:w="127"/>
        <w:gridCol w:w="127"/>
        <w:gridCol w:w="240"/>
        <w:gridCol w:w="683"/>
        <w:gridCol w:w="133"/>
        <w:gridCol w:w="133"/>
        <w:gridCol w:w="133"/>
        <w:gridCol w:w="133"/>
        <w:gridCol w:w="312"/>
        <w:gridCol w:w="743"/>
        <w:gridCol w:w="17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8"/>
      </w:tblGrid>
      <w:tr>
        <w:trPr/>
        <w:tc>
          <w:tcPr>
            <w:tcW w:w="121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Income</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Diluted Earnings per share</w:t>
            </w:r>
            <w:r>
              <w:rPr>
                <w:rFonts w:ascii="Times New Roman;serif" w:hAnsi="Times New Roman;serif"/>
                <w:b/>
                <w:color w:val="000000"/>
                <w:sz w:val="10"/>
              </w:rPr>
              <w:t>(6)(7)</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Diluted Earnings per share</w:t>
            </w:r>
            <w:r>
              <w:rPr>
                <w:rFonts w:ascii="Times New Roman;serif" w:hAnsi="Times New Roman;serif"/>
                <w:b/>
                <w:color w:val="000000"/>
                <w:sz w:val="10"/>
              </w:rPr>
              <w:t>(6)(7)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GAAP net income (loss) from continuing operations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Non-cash amortization of acquired intangibles</w:t>
            </w:r>
            <w:r>
              <w:rPr>
                <w:rFonts w:ascii="Times New Roman;serif" w:hAnsi="Times New Roman;serif"/>
                <w:b w:val="false"/>
                <w:color w:val="000000"/>
                <w:sz w:val="12"/>
              </w:rPr>
              <w:t>(1)</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Interest income (expense) and non-recurring items</w:t>
            </w:r>
            <w:r>
              <w:rPr>
                <w:rFonts w:ascii="Times New Roman;serif" w:hAnsi="Times New Roman;serif"/>
                <w:b w:val="false"/>
                <w:color w:val="000000"/>
                <w:sz w:val="12"/>
              </w:rPr>
              <w:t>(2)(3)</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Tax valuation allowance</w:t>
            </w:r>
            <w:r>
              <w:rPr>
                <w:rFonts w:ascii="Times New Roman;serif" w:hAnsi="Times New Roman;serif"/>
                <w:b w:val="false"/>
                <w:color w:val="000000"/>
                <w:sz w:val="12"/>
              </w:rPr>
              <w:t>(4)</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Income (loss) from equity method investments</w:t>
            </w:r>
            <w:r>
              <w:rPr>
                <w:rFonts w:ascii="Times New Roman;serif" w:hAnsi="Times New Roman;serif"/>
                <w:b w:val="false"/>
                <w:color w:val="000000"/>
                <w:sz w:val="12"/>
              </w:rPr>
              <w:t>(5)</w:t>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Non-GAAP net income (loss) from continuing operations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diluted weighted-average shares outstanding</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ind w:left="0" w:right="0" w:hanging="90"/>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diluted weighted-average shares outstanding</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966" w:type="dxa"/>
            <w:gridSpan w:val="24"/>
            <w:tcBorders/>
            <w:tcMar>
              <w:top w:w="0" w:type="dxa"/>
              <w:left w:w="0" w:type="dxa"/>
              <w:bottom w:w="0" w:type="dxa"/>
              <w:right w:w="0" w:type="dxa"/>
            </w:tcMar>
            <w:vAlign w:val="center"/>
          </w:tcPr>
          <w:p>
            <w:pPr>
              <w:pStyle w:val="TableContents"/>
              <w:bidi w:val="0"/>
              <w:spacing w:lineRule="auto" w:line="240" w:before="40" w:after="283"/>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Includes the amortization of acquired intangible assets, including customer and distributor relationships, reacquired distribution rights and acquired developed technology related to our Acquisitions. See “Discussion of Non-GAAP Measures” for more information.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966" w:type="dxa"/>
            <w:gridSpan w:val="24"/>
            <w:tcBorders/>
            <w:tcMar>
              <w:top w:w="0" w:type="dxa"/>
              <w:left w:w="0" w:type="dxa"/>
              <w:bottom w:w="0" w:type="dxa"/>
              <w:right w:w="0" w:type="dxa"/>
            </w:tcMar>
            <w:vAlign w:val="center"/>
          </w:tcPr>
          <w:p>
            <w:pPr>
              <w:pStyle w:val="TableContents"/>
              <w:bidi w:val="0"/>
              <w:spacing w:lineRule="auto" w:line="240" w:before="40" w:after="283"/>
              <w:ind w:left="0" w:right="0" w:hanging="18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In 2026, amounts primarily include $10.8 million of tariff refunds and a $4.3 million gain on our investment in Five Iron Golf, partially offset by $9.8 million of other expense related to write-offs of debt issuance costs associated with the January and May 2026 repayments of the term loan, $1.7 million of charges incurred to relocate to a new UK warehouse as a result of the sale of the Jack Wolfskin business in 2025, $1.5 million of restructuring charges related to the Transformation Plan, and a $0.7 million write-off of software assets stemming from our separation from Topgolf. In addition, non-recurring items for 2026 include $2.3 million of costs incurred under the Transition Services Agreement with Topgolf, which were fully offset by $2.3 million of cost recovery fees received from Topgolf related to those transition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966"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In 2025, amounts primarily include $1.5 million of costs associated with the Transformation Plan and $0.4 million of costs incurred to centralize warehousing and distribution operations to achieve synergies in connection with our acquisitions. In addition, $19.1 million of term loan interest expense incurred at the corporate level and included in discontinued operations on a GAAP basis is reflected as part of continuing operations on a non-GAAP basis in order to show the full effect of consolidated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966"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Related to the release of valuation allowances on certain U.S. deferred tax assets related to the disposal of the Topgolf and Jack Wolfskin businesses.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966"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In 2026, amounts include our $28.7 million proportionate share of Topgolf’s net losses combined with $6.6 million of unfavorable tax impacts.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966"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 xml:space="preserve">(6) </w:t>
            </w:r>
            <w:r>
              <w:rPr>
                <w:rFonts w:ascii="Times New Roman;serif" w:hAnsi="Times New Roman;serif"/>
                <w:b w:val="false"/>
                <w:color w:val="000000"/>
                <w:sz w:val="16"/>
              </w:rPr>
              <w:t xml:space="preserve">The effect of the Convertible Notes on diluted earnings per share is calculated using the if-converted method, which excludes interest expense related to the Convertible Notes from the calculation of net income through the cash settlement date of May 1, 2026.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966" w:type="dxa"/>
            <w:gridSpan w:val="24"/>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10"/>
              </w:rPr>
              <w:t>(7)</w:t>
            </w:r>
            <w:r>
              <w:rPr>
                <w:color w:val="000000"/>
              </w:rPr>
              <w:t xml:space="preserve"> </w:t>
            </w:r>
            <w:r>
              <w:rPr>
                <w:rFonts w:ascii="Times New Roman;serif" w:hAnsi="Times New Roman;serif"/>
                <w:b w:val="false"/>
                <w:color w:val="000000"/>
                <w:sz w:val="16"/>
              </w:rPr>
              <w:t>When aggregated, diluted earnings per share amounts may not be additive due to rounding.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GAAP net income from continuing operations</w:t>
      </w:r>
    </w:p>
    <w:p>
      <w:pPr>
        <w:pStyle w:val="TextBody"/>
        <w:bidi w:val="0"/>
        <w:spacing w:lineRule="auto" w:line="288" w:before="60" w:after="283"/>
        <w:ind w:left="0" w:right="0" w:firstLine="495"/>
        <w:jc w:val="both"/>
        <w:rPr/>
      </w:pPr>
      <w:r>
        <w:rPr>
          <w:rFonts w:ascii="Times New Roman;serif" w:hAnsi="Times New Roman;serif"/>
          <w:b w:val="false"/>
          <w:color w:val="000000"/>
          <w:sz w:val="20"/>
          <w:shd w:fill="FFFFFF" w:val="clear"/>
        </w:rPr>
        <w:t xml:space="preserve">Net income from continuing operations and diluted earnings per share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2026 were $150.7 million and </w:t>
      </w:r>
      <w:r>
        <w:rPr>
          <w:rFonts w:ascii="Times New Roman;serif" w:hAnsi="Times New Roman;serif"/>
          <w:b w:val="false"/>
          <w:color w:val="000000"/>
          <w:sz w:val="20"/>
        </w:rPr>
        <w:t>$0.78 per share, respectively,</w:t>
      </w:r>
      <w:r>
        <w:rPr>
          <w:color w:val="000000"/>
          <w:shd w:fill="FFFFFF" w:val="clear"/>
        </w:rPr>
        <w:t xml:space="preserve"> </w:t>
      </w:r>
      <w:r>
        <w:rPr>
          <w:rFonts w:ascii="Times New Roman;serif" w:hAnsi="Times New Roman;serif"/>
          <w:b w:val="false"/>
          <w:color w:val="000000"/>
          <w:sz w:val="20"/>
          <w:shd w:fill="FFFFFF" w:val="clear"/>
        </w:rPr>
        <w:t>as compared to net income from continuing operations and diluted earnings per share of $108.9 million</w:t>
      </w:r>
      <w:r>
        <w:rPr>
          <w:color w:val="000000"/>
        </w:rPr>
        <w:t xml:space="preserve"> </w:t>
      </w:r>
      <w:r>
        <w:rPr>
          <w:rFonts w:ascii="Times New Roman;serif" w:hAnsi="Times New Roman;serif"/>
          <w:b w:val="false"/>
          <w:color w:val="000000"/>
          <w:sz w:val="20"/>
        </w:rPr>
        <w:t>and $0.56 per share, respectively, for the</w:t>
      </w:r>
      <w:r>
        <w:rPr>
          <w:color w:val="000000"/>
          <w:shd w:fill="FFFFFF" w:val="clear"/>
        </w:rPr>
        <w:t xml:space="preserv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2025. These increases were primarily driven by a $60.6 million increase in segment operating income combined with the recognition of $10.8 million related to the tariff refunds in the current quarter and a reduction in interest expense resulting from the full repayment of our term loan debt. These increases were partially offset by the loss recognized from our equity method investment in Topgolf and an increase in the income tax provision. </w:t>
      </w:r>
    </w:p>
    <w:p>
      <w:pPr>
        <w:pStyle w:val="TextBody"/>
        <w:bidi w:val="0"/>
        <w:spacing w:lineRule="auto" w:line="288" w:before="120" w:after="283"/>
        <w:ind w:left="0" w:right="0" w:firstLine="495"/>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Non-GAAP net income from continuing operations</w:t>
      </w:r>
    </w:p>
    <w:p>
      <w:pPr>
        <w:pStyle w:val="TextBody"/>
        <w:bidi w:val="0"/>
        <w:spacing w:lineRule="auto" w:line="288" w:before="60" w:after="283"/>
        <w:ind w:left="0" w:right="0" w:firstLine="495"/>
        <w:jc w:val="both"/>
        <w:rPr/>
      </w:pPr>
      <w:r>
        <w:rPr>
          <w:rFonts w:ascii="Times New Roman;serif" w:hAnsi="Times New Roman;serif"/>
          <w:b w:val="false"/>
          <w:color w:val="000000"/>
          <w:sz w:val="20"/>
          <w:shd w:fill="FFFFFF" w:val="clear"/>
        </w:rPr>
        <w:t xml:space="preserve">On a non-GAAP basis, excluding the items described in the table above, our net income from continuing operations and diluted earnings per share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2026 would have been $185.6 million and </w:t>
      </w:r>
      <w:r>
        <w:rPr>
          <w:rFonts w:ascii="Times New Roman;serif" w:hAnsi="Times New Roman;serif"/>
          <w:b w:val="false"/>
          <w:color w:val="000000"/>
          <w:sz w:val="20"/>
        </w:rPr>
        <w:t>$0.96 per share, respectively,</w:t>
      </w:r>
      <w:r>
        <w:rPr>
          <w:color w:val="000000"/>
          <w:shd w:fill="FFFFFF" w:val="clear"/>
        </w:rPr>
        <w:t xml:space="preserve"> </w:t>
      </w:r>
      <w:r>
        <w:rPr>
          <w:rFonts w:ascii="Times New Roman;serif" w:hAnsi="Times New Roman;serif"/>
          <w:b w:val="false"/>
          <w:color w:val="000000"/>
          <w:sz w:val="20"/>
          <w:shd w:fill="FFFFFF" w:val="clear"/>
        </w:rPr>
        <w:t>as compared to net income from continuing operations and diluted earnings per share of $96.0 million</w:t>
      </w:r>
      <w:r>
        <w:rPr>
          <w:color w:val="000000"/>
        </w:rPr>
        <w:t xml:space="preserve"> </w:t>
      </w:r>
      <w:r>
        <w:rPr>
          <w:rFonts w:ascii="Times New Roman;serif" w:hAnsi="Times New Roman;serif"/>
          <w:b w:val="false"/>
          <w:color w:val="000000"/>
          <w:sz w:val="20"/>
        </w:rPr>
        <w:t>and $0.50 per share, respectively, for the</w:t>
      </w:r>
      <w:r>
        <w:rPr>
          <w:color w:val="000000"/>
          <w:shd w:fill="FFFFFF" w:val="clear"/>
        </w:rPr>
        <w:t xml:space="preserv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June 30, 2025. The increase in non-GAAP net income from continuing operations was primarily due to a $60.6 million increase in segment operating income combined with lower interest expense, partially offset by an increase in the income tax provision.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16610"/>
                <wp:effectExtent l="0" t="0" r="0" b="0"/>
                <wp:wrapNone/>
                <wp:docPr id="42" name="Frame42"/>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Discontinued Operations (in millions, except percentages)</w:t>
      </w:r>
    </w:p>
    <w:tbl>
      <w:tblPr>
        <w:tblW w:w="10205" w:type="dxa"/>
        <w:jc w:val="left"/>
        <w:tblInd w:w="0" w:type="dxa"/>
        <w:tblLayout w:type="fixed"/>
        <w:tblCellMar>
          <w:top w:w="28" w:type="dxa"/>
          <w:left w:w="28" w:type="dxa"/>
          <w:bottom w:w="28" w:type="dxa"/>
          <w:right w:w="28" w:type="dxa"/>
        </w:tblCellMar>
      </w:tblPr>
      <w:tblGrid>
        <w:gridCol w:w="486"/>
        <w:gridCol w:w="427"/>
        <w:gridCol w:w="428"/>
        <w:gridCol w:w="199"/>
        <w:gridCol w:w="406"/>
        <w:gridCol w:w="111"/>
        <w:gridCol w:w="111"/>
        <w:gridCol w:w="111"/>
        <w:gridCol w:w="111"/>
        <w:gridCol w:w="199"/>
        <w:gridCol w:w="497"/>
        <w:gridCol w:w="111"/>
        <w:gridCol w:w="109"/>
        <w:gridCol w:w="109"/>
        <w:gridCol w:w="109"/>
        <w:gridCol w:w="196"/>
        <w:gridCol w:w="466"/>
        <w:gridCol w:w="109"/>
        <w:gridCol w:w="109"/>
        <w:gridCol w:w="109"/>
        <w:gridCol w:w="109"/>
        <w:gridCol w:w="243"/>
        <w:gridCol w:w="244"/>
        <w:gridCol w:w="357"/>
        <w:gridCol w:w="109"/>
        <w:gridCol w:w="109"/>
        <w:gridCol w:w="109"/>
        <w:gridCol w:w="197"/>
        <w:gridCol w:w="469"/>
        <w:gridCol w:w="109"/>
        <w:gridCol w:w="109"/>
        <w:gridCol w:w="109"/>
        <w:gridCol w:w="109"/>
        <w:gridCol w:w="197"/>
        <w:gridCol w:w="491"/>
        <w:gridCol w:w="109"/>
        <w:gridCol w:w="109"/>
        <w:gridCol w:w="109"/>
        <w:gridCol w:w="109"/>
        <w:gridCol w:w="196"/>
        <w:gridCol w:w="556"/>
        <w:gridCol w:w="109"/>
        <w:gridCol w:w="109"/>
        <w:gridCol w:w="109"/>
        <w:gridCol w:w="109"/>
        <w:gridCol w:w="288"/>
        <w:gridCol w:w="289"/>
        <w:gridCol w:w="421"/>
      </w:tblGrid>
      <w:tr>
        <w:trPr/>
        <w:tc>
          <w:tcPr>
            <w:tcW w:w="48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Growth/(Decline)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Increase/(Decrease)</w:t>
            </w:r>
          </w:p>
        </w:tc>
      </w:tr>
      <w:tr>
        <w:trPr/>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(120.3)</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Loss of $0.6 million from discontinued operations, net of tax, for the three months ended June 30, 2026 was related to the settlement of certain indemnification obligations and other costs directly related to our divestitures of Topgolf and Jack Wolfskin. Income of $17.6 million, net of tax from discontinued operations for the six months ended June 30, 2026, was primarily related to the recognition of an income tax benefit in connection with the sale of Topgolf effective on January 1, 2026, partially offset by transaction costs directly related to the completion of the sale as well as the settlement of certain indemnification obligations. The $25.2 million and $86.5 million loss from discontinued operations, net of tax for the three and six months ended June 30, 2025, respectively, was due to net operating losses of both Topgolf and Jack Wolfskin during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and cash equivalents</w:t>
      </w:r>
    </w:p>
    <w:p>
      <w:pPr>
        <w:pStyle w:val="TextBody"/>
        <w:bidi w:val="0"/>
        <w:spacing w:lineRule="auto" w:line="288" w:before="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cash and cash equivalents decreased $625.1 million to $278.1 million at June 30, 2026 as compared to December 31, 2025 and decreased $405.4 million compared to June 30, 2025. These decreases were primarily driven by cash used in financing activities from continuing operations, largely reflecting the full repayment of our term loan during the period, which was funded by cash proceeds from the sale of Topgolf and cash on hand. We also used cash in financing activities to repurchase shares of our common stock pursuant to our stock repurchase program. In addition, cash provided by operating activities from continuing operations increased due to the strong performance of the business. For further information related to our financing arrangements, see Note 6 “Financing Arrangements” in the Notes to Condensed Consolidated Financial Statements in Part I, Item 1 and “Liquidity and Capital Resources” in Part I, Item 2 of this Form 10-Q.</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Accounts receivable </w:t>
      </w:r>
    </w:p>
    <w:p>
      <w:pPr>
        <w:pStyle w:val="TextBody"/>
        <w:bidi w:val="0"/>
        <w:spacing w:lineRule="auto" w:line="288" w:before="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accounts receivable balance fluctuates throughout the year as a result of the general seasonality of our business, and is also affected by the timing of new product launches. With respect to our Golf Equipment business, accounts receivable are generally the highest during the first and second quarters during the seasonal peak in the golf industry, and generally decline significantly during the third and fourth quarters as a result of an increase in cash collections combined with lower seasonal sales. With respect to our Apparel, Gear and Other business, accounts receivable balances for our TravisMathew and OGIO businesses are more evenly distributed throughout the year while accounts receivable balances for our Callaway soft good brand are subject to the same general seasonality as our Golf Equipment business. As of June 30, 2026, our consolidated net accounts receivable increased to $315.7 million from $123.2 million at December 31, 2025. The increase primarily reflects the seasonality of Golf Equipment net sales in the first and second quarters. Net accounts receivable as of June 30, 2026 decreased $15.9 million compared to June 30, 2025, primarily due to lower net sales in the latter half of the second quarter of 2026 combined with improved cash collections. </w:t>
      </w:r>
    </w:p>
    <w:p>
      <w:pPr>
        <w:pStyle w:val="TextBody"/>
        <w:bidi w:val="0"/>
        <w:spacing w:lineRule="auto" w:line="288" w:before="120" w:after="283"/>
        <w:ind w:left="0" w:right="0" w:firstLine="45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Inventory</w:t>
      </w:r>
    </w:p>
    <w:p>
      <w:pPr>
        <w:pStyle w:val="TextBody"/>
        <w:bidi w:val="0"/>
        <w:spacing w:lineRule="auto" w:line="288" w:before="6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inventory balance fluctuates throughout the year as a result of the general seasonality of our Golf Equipment business, and is also affected by the timing of new product launches. With respect to our Golf Equipment business, the buildup of inventory generally begins during the fourth quarter and continues into the first quarter and beginning of the second quarter in order to meet increased demand during the golf season. Inventory levels are also impacted by the timing of new product launches as well as the success of new products. With respect to our Apparel, Gear and Other business, inventory levels are generally less affected by seasonality due to the diversification of product offerings for these brands. As of June 30, 2026, our inventory decreased $107.1 million to $518.2 million, compared to December 31, 2025, which reflects our seasonality. Our inventory decreased $49.7 million as of June 30, 2026, compared to June 30, 2025, primarily due to higher net sales in the current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16610"/>
                <wp:effectExtent l="0" t="0" r="0" b="0"/>
                <wp:wrapNone/>
                <wp:docPr id="43" name="Frame43"/>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28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Liquidity</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consist of our existing cash and cash equivalents, funds expected to be generated from operations and funds from our credit facilities. Based upon our current cash balances, our estimates of funds expected to be generated from operations, as well as from current and projected availability under our current credit facilities, we believe that we will be able to finance current and planned operating requirements, capital expenditures, required debt repayments and contractual obligations and commercial commitments for at least the next 12 months from the issuance date of this Form 10-Q.</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sufficient positive cash flows from operations is subject to many risks and uncertainties, including future economic trends and conditions, demand for our products, supply chain challenges, price inflation, foreign currency exchange rates, and other risks and uncertainties applicable to us and our business (see “Risk Factors” contained in Part I, Item 1A of our Annual Report on Form 10-K for the year ended December 31, 2025). </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Capital resources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$774.7 million in combined cash and availability under our credit facilities, which is a decrease of $386.6 million compared to June 30, 2025 following the full repayment of our Term Loan B in May 2026 and repurchases of shares of our common stock pursuant to our stock repurchase program. Information about our credit facilities and long-term debt is presented in Note 6 “Financing Arrangements” in the Notes to Condensed Consolidated Financial Statements included in Part I, Item 1 of this Form 10-Q, which is incorporated herein by this reference.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of June 30, 2026, approximately 26% of our cash was held in regions outside of the United States. We continue to maintain our indefinite reinvestment assertion with respect to most jurisdictions in which we operate because of local cash requirements to operate our business. If we were to repatriate cash to the United States outside of settling intercompany balances, we may need to pay incremental foreign withholding taxes which, subject to certain limitations, generate foreign tax credits for use against our U.S. tax liability, if any. Additionally, we may need to pay certain state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16610"/>
                <wp:effectExtent l="0" t="0" r="0" b="0"/>
                <wp:wrapNone/>
                <wp:docPr id="44" name="Frame44"/>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Significant cash obligations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plan to utilize our liquidity (as described above) and our cash flows from business operations to fund our material cash requirements. The table below summarizes certain significant cash obligations as of June 30, 2026 that will affect our future liquidity (in millions).</w:t>
      </w:r>
    </w:p>
    <w:tbl>
      <w:tblPr>
        <w:tblW w:w="10205" w:type="dxa"/>
        <w:jc w:val="left"/>
        <w:tblInd w:w="0" w:type="dxa"/>
        <w:tblLayout w:type="fixed"/>
        <w:tblCellMar>
          <w:top w:w="28" w:type="dxa"/>
          <w:left w:w="28" w:type="dxa"/>
          <w:bottom w:w="28" w:type="dxa"/>
          <w:right w:w="28" w:type="dxa"/>
        </w:tblCellMar>
      </w:tblPr>
      <w:tblGrid>
        <w:gridCol w:w="1177"/>
        <w:gridCol w:w="762"/>
        <w:gridCol w:w="780"/>
        <w:gridCol w:w="249"/>
        <w:gridCol w:w="709"/>
        <w:gridCol w:w="138"/>
        <w:gridCol w:w="138"/>
        <w:gridCol w:w="138"/>
        <w:gridCol w:w="138"/>
        <w:gridCol w:w="341"/>
        <w:gridCol w:w="812"/>
        <w:gridCol w:w="191"/>
        <w:gridCol w:w="138"/>
        <w:gridCol w:w="138"/>
        <w:gridCol w:w="138"/>
        <w:gridCol w:w="258"/>
        <w:gridCol w:w="733"/>
        <w:gridCol w:w="143"/>
        <w:gridCol w:w="138"/>
        <w:gridCol w:w="138"/>
        <w:gridCol w:w="138"/>
        <w:gridCol w:w="266"/>
        <w:gridCol w:w="634"/>
        <w:gridCol w:w="148"/>
        <w:gridCol w:w="138"/>
        <w:gridCol w:w="138"/>
        <w:gridCol w:w="138"/>
        <w:gridCol w:w="256"/>
        <w:gridCol w:w="728"/>
        <w:gridCol w:w="224"/>
      </w:tblGrid>
      <w:tr>
        <w:trPr/>
        <w:tc>
          <w:tcPr>
            <w:tcW w:w="117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Payments Due By Period</w:t>
            </w:r>
          </w:p>
        </w:tc>
      </w:tr>
      <w:tr>
        <w:trPr/>
        <w:tc>
          <w:tcPr>
            <w:tcW w:w="2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Remainder of 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2027 - 2028</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2029 - 2030</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Debt </w:t>
            </w:r>
            <w:r>
              <w:rPr>
                <w:rFonts w:ascii="Times New Roman;serif" w:hAnsi="Times New Roman;serif"/>
                <w:b w:val="false"/>
                <w:color w:val="000000"/>
                <w:sz w:val="12"/>
              </w:rPr>
              <w:t>(1)</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payments </w:t>
            </w:r>
            <w:r>
              <w:rPr>
                <w:rFonts w:ascii="Times New Roman;serif" w:hAnsi="Times New Roman;serif"/>
                <w:b w:val="false"/>
                <w:color w:val="000000"/>
                <w:sz w:val="12"/>
              </w:rPr>
              <w:t>(2)</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Finance leases, including imputed interest </w:t>
            </w:r>
            <w:r>
              <w:rPr>
                <w:rFonts w:ascii="Times New Roman;serif" w:hAnsi="Times New Roman;serif"/>
                <w:b w:val="false"/>
                <w:color w:val="000000"/>
                <w:sz w:val="12"/>
              </w:rPr>
              <w:t>(3)</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Operating leases, including imputed interest </w:t>
            </w:r>
            <w:r>
              <w:rPr>
                <w:rFonts w:ascii="Times New Roman;serif" w:hAnsi="Times New Roman;serif"/>
                <w:b w:val="false"/>
                <w:color w:val="000000"/>
                <w:sz w:val="12"/>
              </w:rPr>
              <w:t>(4)</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8"/>
              </w:rPr>
              <w:t xml:space="preserve">Minimum lease payments for leases signed but not yet commenced </w:t>
            </w:r>
            <w:r>
              <w:rPr>
                <w:rFonts w:ascii="Times New Roman;serif" w:hAnsi="Times New Roman;serif"/>
                <w:b w:val="false"/>
                <w:color w:val="000000"/>
                <w:sz w:val="12"/>
              </w:rPr>
              <w:t>(5)</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Unconditional purchase obligations </w:t>
            </w:r>
            <w:r>
              <w:rPr>
                <w:rFonts w:ascii="Times New Roman;serif" w:hAnsi="Times New Roman;serif"/>
                <w:b w:val="false"/>
                <w:color w:val="000000"/>
                <w:sz w:val="12"/>
              </w:rPr>
              <w:t>(6)</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Uncertain tax contingencies </w:t>
            </w:r>
            <w:r>
              <w:rPr>
                <w:rFonts w:ascii="Times New Roman;serif" w:hAnsi="Times New Roman;serif"/>
                <w:b w:val="false"/>
                <w:color w:val="000000"/>
                <w:sz w:val="12"/>
              </w:rPr>
              <w:t>(7)</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Excludes unamortized debt discounts, unamortized debt issuance costs, and fair value adjustments. Includes $43.1 million of outstanding ABL borrowings. For further details related to long-term debt, see Note 6 “Financing Arrangements” in the Notes to Condensed Consolidated Financial Statements in Part I, Item 1 of this Form 10-Q.</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Long-term debt may have fixed or variable interest rates. For further details, see Note 6 “Financing Arrangements” in the Notes to Condensed Consolidated Financial Statements in Part I, Item 1 of this Form 10-Q.</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Represents commitments for future minimum lease payments under financing leases. For further details, see Note 5 “Leases” in the Notes to Condensed Consolidated Financial Statements in Part I, Item 1 of this Form 10-Q.</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Represents commitments for future minimum lease payments under operating leases. For further details, see Note 5 “Leases” in the Notes to Condensed Consolidated Financial Statements in Part I, Item 1 of this Form 10-Q.</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 xml:space="preserve">Represents future minimum lease payments under lease agreements that have not yet commenced as of June 30, 2026, in relation to future TravisMathew retail stores. For further discussion, see Note 5 “Leases” in the Notes to Condensed Consolidated Financial Statements in Part I, Item 1 of this Form 10-Q. </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During the normal course of business, we enter into agreements to purchase goods and services, including commitments for endorsement agreements with professional athletes and other endorsers, consulting and service agreements, and intellectual property licensing agreements pursuant to which we are required to pay royalty fees. The amounts listed above approximate the minimum purchase obligations we are obligated to pay under these agreements over the next five years and thereafter as of June 30, 2026. The actual amounts paid under some of the agreements may be higher or lower than these amounts. In addition, we also enter into unconditional purchase obligations with various vendors and suppliers of goods and services during the normal course of business through purchase orders or other documentation or that are undocumented except for an invoice. For further details, see Note 12 “Commitments &amp; Contingencies” in the Notes to Condensed Consolidated Financial Statements in Part I, Item 1 of this Form 10-Q.</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60" w:after="283"/>
              <w:ind w:left="0" w:right="0" w:hanging="180"/>
              <w:jc w:val="both"/>
              <w:rPr/>
            </w:pPr>
            <w:r>
              <w:rPr>
                <w:rFonts w:ascii="Times New Roman;serif" w:hAnsi="Times New Roman;serif"/>
                <w:b w:val="false"/>
                <w:color w:val="000000"/>
                <w:sz w:val="10"/>
              </w:rPr>
              <w:t>(7)</w:t>
            </w:r>
            <w:r>
              <w:rPr>
                <w:color w:val="000000"/>
              </w:rPr>
              <w:t xml:space="preserve"> </w:t>
            </w:r>
            <w:r>
              <w:rPr>
                <w:rFonts w:ascii="Times New Roman;serif" w:hAnsi="Times New Roman;serif"/>
                <w:b w:val="false"/>
                <w:color w:val="000000"/>
                <w:sz w:val="16"/>
              </w:rPr>
              <w:t>Amounts</w:t>
            </w:r>
            <w:r>
              <w:rPr>
                <w:color w:val="FF0000"/>
              </w:rPr>
              <w:t xml:space="preserve"> </w:t>
            </w:r>
            <w:r>
              <w:rPr>
                <w:rFonts w:ascii="Times New Roman;serif" w:hAnsi="Times New Roman;serif"/>
                <w:b w:val="false"/>
                <w:color w:val="000000"/>
                <w:sz w:val="16"/>
              </w:rPr>
              <w:t>represent current and non-current portions of uncertain income tax positions as recorded on our condensed consolidated balance sheets as of June 30, 2026. Amounts exclude uncertain income tax positions that we would be able to offset against deferred taxes. For further discussion, see Note 11 “Income Taxes” in the Notes to Condensed Consolidated Financial Statements in Part I, Item 1 of this Form 10-Q.</w:t>
            </w:r>
          </w:p>
        </w:tc>
      </w:tr>
    </w:tbl>
    <w:p>
      <w:pPr>
        <w:pStyle w:val="TextBody"/>
        <w:bidi w:val="0"/>
        <w:spacing w:lineRule="auto" w:line="288" w:before="12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normal course of business, we have made certain indemnities, commitments and guarantees under which we may be required to make payments in relation to certain transactions. These include (i) intellectual property indemnities to our customers and licensees in connection with the use, sale and/or license of our products or trademarks, (ii) indemnities to various lessors in connection with facility leases for certain claims arising from such facilities or leases, (iii) indemnities to vendors and service providers pertaining to the goods or services provided to us or based on the negligence or willful misconduct, and (iv) indemnities involving the accuracy of representations and warranties in certain contracts. In addition, we have made contractual commitments to each of our officers and certain other employees providing for severance payments upon the termination of employment. We have also issued guarantees in the form of a standby letter of credit in the amount of $0.4 million primarily as security for contingent liabilities under certain workers’ compensation insurance policies. We have also made certain indemnities under which we may be required to make payments in relation to divestitures of the Topgolf and Jack Wolfskin businesses. These include indemnities against (i) damages arising from certain ongoing litigation matters, (ii) certain exempted claims and (iii) certain pre-closing tax and other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16610"/>
                <wp:effectExtent l="0" t="0" r="0" b="0"/>
                <wp:wrapNone/>
                <wp:docPr id="45" name="Frame45"/>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2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duration of these indemnities, commitments and guarantees varies, and in certain cases may be indefinite. The majority of these indemnities, commitments and guarantees do not provide for any limitation on the maximum amount of future payments we could be obligated to make. Historically, costs incurred to settle claims related to indemnities have not been material to our financial position, results of operations or cash flows. In addition, we believe the likelihood is remote that payments under the commitments and guarantees described above will have a material effect on our financial condition. The fair value of indemnities, commitments and guarantees that we issued during the six months ended June 30, 2026 was not material to our financial position, results of operations or cash flows.</w:t>
      </w:r>
    </w:p>
    <w:p>
      <w:pPr>
        <w:pStyle w:val="TextBody"/>
        <w:bidi w:val="0"/>
        <w:spacing w:lineRule="auto" w:line="288" w:before="120" w:after="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addition to the contractual obligations listed above, our liquidity could also be adversely affected by an unfavorable outcome with respect to claims and litigation that we are subject to from time to time (see Note 12 “Commitments &amp; Contingencies” in the Notes to Condensed Consolidated Financial Statements in Part I, Item 1 and “Legal Proceedings” in Part II, Item 1 of this Form 10-Q).</w:t>
      </w:r>
    </w:p>
    <w:p>
      <w:pPr>
        <w:pStyle w:val="TextBody"/>
        <w:bidi w:val="0"/>
        <w:spacing w:lineRule="auto" w:line="288" w:before="120" w:after="6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no material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225"/>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Capital expenditures</w:t>
      </w:r>
    </w:p>
    <w:p>
      <w:pPr>
        <w:pStyle w:val="TextBody"/>
        <w:bidi w:val="0"/>
        <w:spacing w:lineRule="auto" w:line="288" w:before="100" w:after="283"/>
        <w:ind w:left="0" w:right="0" w:firstLine="495"/>
        <w:jc w:val="both"/>
        <w:rPr/>
      </w:pPr>
      <w:r>
        <w:rPr>
          <w:rFonts w:ascii="Times New Roman;serif" w:hAnsi="Times New Roman;serif"/>
          <w:b w:val="false"/>
          <w:color w:val="000000"/>
          <w:sz w:val="20"/>
        </w:rPr>
        <w:t>Total estimated capital expenditures for the year ending</w:t>
      </w:r>
      <w:r>
        <w:rPr>
          <w:color w:val="000000"/>
          <w:shd w:fill="FFFFFF" w:val="clear"/>
        </w:rPr>
        <w:t xml:space="preserve"> </w:t>
      </w:r>
      <w:r>
        <w:rPr>
          <w:rFonts w:ascii="Times New Roman;serif" w:hAnsi="Times New Roman;serif"/>
          <w:b w:val="false"/>
          <w:color w:val="000000"/>
          <w:sz w:val="20"/>
          <w:shd w:fill="FFFFFF" w:val="clear"/>
        </w:rPr>
        <w:t>December 31, 2026, are expected to be approxim</w:t>
      </w:r>
      <w:r>
        <w:rPr>
          <w:rFonts w:ascii="Times New Roman;serif" w:hAnsi="Times New Roman;serif"/>
          <w:b w:val="false"/>
          <w:color w:val="000000"/>
          <w:sz w:val="20"/>
        </w:rPr>
        <w:t xml:space="preserve">ately $40.0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there have been no material changes to our critical accounting estimates from the information reported in our Form 10-K for the fiscal year ended December 31, 2025, filed with the SEC on February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We use derivative financial instruments to mitigate our exposure to changes in foreign currency exchange rates and interest rates. Transactions involving these financial instruments are with creditworthy banks, primarily banks that are party to our credit facilities (see Note 6 “Financing Arrangements” and Note 15 “Derivatives and Hedging” in the Notes to Condensed Consolidated Financial Statements in Part I, Item 1 of this Form 10-Q). The use of these instruments exposes us to market and credit risk which may at times be concentrated with certain counterparties, although counterparty nonperformance is not anticipated.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Foreign Currency Fluctuations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Information about our foreign currency hedging activities is set forth in Note 15 “Derivatives and Hedging” in the Notes to Condensed Consolidated Financial Statements included in Part I, Item 1, of this Form 10-Q, which is incorporated herein by this reference.</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As part of our risk management procedure, a sensitivity analysis model is used to measure the potential loss in future earnings of market-sensitive instruments resulting from one or more selected hypothetical changes in interest rates or foreign currency values. The sensitivity analysis model quantifies the estimated potential effect of unfavorable movements of 10% in foreign currencies to which we were exposed at June 30, 2026 through our foreign currency forward contracts.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At June 30, 2026, the estimated loss from our foreign currency forward contracts, calculated using the sensitivity analysis model described above, was $23.4 million. We believe that such a hypothetical loss from our foreign currency forward contracts would be partially offset by increases in the value of the underlying transactions being hedged.</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sensitivity analysis model is a risk analysis tool and does not purport to represent actual losses in earnings that we will incur, nor does it consider the potential effect of favorable changes in market rates. It also does not represent the maximum possible loss that may occur. Actual future gains and losses will differ from those estimated because of changes or differences in market rates and interrelationships, hedging instruments and hedge percentages, timing and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16610"/>
                <wp:effectExtent l="0" t="0" r="0" b="0"/>
                <wp:wrapNone/>
                <wp:docPr id="46" name="Frame46"/>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Interest Rate Fluctuations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are exposed to interest rate risk from our credit facilities and long-term borrowing commitments. Outstanding borrowings under these credit facilities and long-term borrowing commitments accrue interest as described in Note 6 “Financing Arrangements” in the Notes to Condensed Consolidated Financial Statements in Part I, Item 1, and in “Liquidity and Capital Resources” in Part I, Item 2 of this Form 10-Q. Our long-term borrowing commitments are subject to interest rate fluctuations, which could be material to our cash flows and results of operations. In order to mitigate this risk, we may enter into interest rate swap contracts as part of our interest rate risk management strategy. Information about our interest rate hedges is provided in Note 15 “Derivatives and Hedging” in the Notes to Condensed Consolidated Financial Statements in Part I, Item 1 of this Form 10-Q. In order to determine the impact of unfavorable changes in interest rates on our cash flows and results of operations, we performed a sensitivity analysis as part of our risk management procedures. The sensitivity analysis quantified that the incremental expense incurred by a 10% increase in interest rates would result in an approximate annual increase of less than $0.1 million in interest expense on our existing principal balance as of June 30, 2026.</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Inflation</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The continued increase in inflation partially contributed to the increase in the cost of our products as well as our operating costs. If the cost of our products, employee costs, or other costs continue to be subject to significant inflationary pressures, such inflationary pressures may have an adverse effect on our ability to maintain current levels of gross margin and selling, general and administrative expenses. Further, we may not be able to offset these increased costs through price increases. As a result, our inability to quickly respond to inflation could harm our cash flows and results of operations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both"/>
        <w:rPr/>
      </w:pPr>
      <w:r>
        <w:rPr>
          <w:rFonts w:ascii="Times New Roman;serif" w:hAnsi="Times New Roman;serif"/>
          <w:b/>
          <w:color w:val="000000"/>
          <w:sz w:val="20"/>
        </w:rPr>
        <w:t>Item 4.    </w:t>
      </w:r>
      <w:r>
        <w:rPr>
          <w:rFonts w:ascii="Times New Roman;serif" w:hAnsi="Times New Roman;serif"/>
          <w:b/>
          <w:i/>
          <w:color w:val="000000"/>
          <w:sz w:val="20"/>
        </w:rPr>
        <w:t>Controls and Procedures</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Disclosure Controls and Procedures.</w:t>
      </w:r>
      <w:r>
        <w:rPr>
          <w:color w:val="000000"/>
        </w:rPr>
        <w:t xml:space="preserve"> </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our management, including our Chief Executive Officer and Chief Financial Officer, of the effectiveness, as of June 30, 2026, of our disclosure controls and procedures (as defined in Rules 13a-15(e) and 15d-15(e) under the Securities Exchange Act of 1934, as amended (the “Exchange Act”)). Based upon that evaluation, the Chief Executive Officer and Chief Financial Officer concluded that our disclosure controls and procedures were effective as of June 30, 2026.</w:t>
      </w:r>
    </w:p>
    <w:p>
      <w:pPr>
        <w:pStyle w:val="TextBody"/>
        <w:bidi w:val="0"/>
        <w:spacing w:lineRule="auto" w:line="288" w:before="120" w:after="283"/>
        <w:ind w:left="0" w:right="0" w:firstLine="495"/>
        <w:jc w:val="both"/>
        <w:rPr/>
      </w:pPr>
      <w:r>
        <w:rPr>
          <w:rFonts w:ascii="Times New Roman;serif" w:hAnsi="Times New Roman;serif"/>
          <w:b w:val="false"/>
          <w:i/>
          <w:color w:val="000000"/>
          <w:sz w:val="20"/>
        </w:rPr>
        <w:t>Changes in Internal Control over Financial Reporting</w:t>
      </w:r>
      <w:r>
        <w:rPr>
          <w:rFonts w:ascii="Times New Roman;serif" w:hAnsi="Times New Roman;serif"/>
          <w:b w:val="false"/>
          <w:color w:val="000000"/>
          <w:sz w:val="20"/>
        </w:rPr>
        <w:t xml:space="preserve">. </w:t>
      </w:r>
    </w:p>
    <w:p>
      <w:pPr>
        <w:pStyle w:val="TextBody"/>
        <w:bidi w:val="0"/>
        <w:spacing w:lineRule="auto" w:line="288" w:before="120" w:after="283"/>
        <w:ind w:left="0" w:right="0" w:firstLine="450"/>
        <w:jc w:val="both"/>
        <w:rPr/>
      </w:pPr>
      <w:r>
        <w:rPr>
          <w:rFonts w:ascii="Times New Roman;serif" w:hAnsi="Times New Roman;serif"/>
          <w:b w:val="false"/>
          <w:color w:val="000000"/>
          <w:sz w:val="20"/>
          <w:shd w:fill="FFFFFF" w:val="clear"/>
        </w:rPr>
        <w:t xml:space="preserve">There were no changes in our internal controls over financial reporting (as such term is defined in Rules 13a-15(f) and 15d-15(f) under the Exchange Act) that have materially affected, or are reasonably likely to materially affect, our internal control over financial reporting during the three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pStyle w:val="TextBody"/>
        <w:bidi w:val="0"/>
        <w:spacing w:before="12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16610"/>
                <wp:effectExtent l="0" t="0" r="0" b="0"/>
                <wp:wrapNone/>
                <wp:docPr id="47" name="Frame47"/>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1.    </w:t>
      </w:r>
      <w:r>
        <w:rPr>
          <w:rFonts w:ascii="Times New Roman;serif" w:hAnsi="Times New Roman;serif"/>
          <w:b/>
          <w:i/>
          <w:color w:val="000000"/>
          <w:sz w:val="20"/>
        </w:rPr>
        <w:t>Legal Proceedings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Note 12 “Commitments &amp; Contingencies” in the Notes to Condensed Consolidated Financial Statements included in Part I, Item 1, of this Form 10-Q, is incorporated herein by this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Certain Factors Affecting Callaway Golf Company</w:t>
      </w:r>
    </w:p>
    <w:p>
      <w:pPr>
        <w:pStyle w:val="TextBody"/>
        <w:bidi w:val="0"/>
        <w:spacing w:lineRule="auto" w:line="288" w:before="6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We have included in Part I, Item 1A of our Annual Report on Form 10-K for the year ended December 31, 2025, a description of certain risks and uncertainties that could affect our business, future performance or financial condition (the “Risk Factors”). Investors should consider the Risk Factors prior to making an investment decision with respect to our stock. There are no material changes from the disclosure provided in the Form 10-K for the year ended December 31, 2025 with respect to the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Item 2.    </w:t>
      </w:r>
      <w:r>
        <w:rPr>
          <w:rFonts w:ascii="Times New Roman;serif" w:hAnsi="Times New Roman;serif"/>
          <w:b/>
          <w:i/>
          <w:color w:val="000000"/>
          <w:sz w:val="20"/>
        </w:rPr>
        <w:t>Unregistered Sales of Equity Securities and Use of Proceeds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Stock Purchases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January 2026, we announced that our Board of Directors authorized a $200.0 million share repurchase program (the “Repurchase Program”) under which we are authorized to repurchase shares of our common stock in the open market or in private transactions, subject to our assessment of market conditions and repurchase opportunities. We will assess market conditions, buying opportunities and other factors from time to time and will make strategic repurchases as appropriate. The repurchases will be made in compliance with Rule 10b-18 under the Exchange Act, subject to market conditions, applicable legal requirements and other factors, and the repurchases will be made consistent with the terms of our credit facilities, which define the amount of stock that can be repurchased. The Repurchase Program does not require us to acquire a specific number of shares and it will remain in effect until completed or until terminated by the Board of Directors. During the second quarter of 2026, we repurchased 2.9 million shares of our common stock under the Repurchase Program at a weighted average price per share of $14.87, for a total cost of $42.4 million.</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purchases during the second quarter of 2026 and includes amounts repurchased under the Repurchase Program and shares withheld to satisfy payroll tax withholding obligations in connection with the vesting and settlement of employee restricted stock unit awards and performance share unit awards. Our repurchases of shares of common stock are recorded at cost and result in a reduction of shareholders’ equity.</w:t>
      </w:r>
    </w:p>
    <w:tbl>
      <w:tblPr>
        <w:tblW w:w="10205" w:type="dxa"/>
        <w:jc w:val="center"/>
        <w:tblInd w:w="0" w:type="dxa"/>
        <w:tblLayout w:type="fixed"/>
        <w:tblCellMar>
          <w:top w:w="28" w:type="dxa"/>
          <w:left w:w="28" w:type="dxa"/>
          <w:bottom w:w="28" w:type="dxa"/>
          <w:right w:w="28" w:type="dxa"/>
        </w:tblCellMar>
      </w:tblPr>
      <w:tblGrid>
        <w:gridCol w:w="411"/>
        <w:gridCol w:w="362"/>
        <w:gridCol w:w="366"/>
        <w:gridCol w:w="109"/>
        <w:gridCol w:w="109"/>
        <w:gridCol w:w="109"/>
        <w:gridCol w:w="435"/>
        <w:gridCol w:w="436"/>
        <w:gridCol w:w="376"/>
        <w:gridCol w:w="109"/>
        <w:gridCol w:w="109"/>
        <w:gridCol w:w="109"/>
        <w:gridCol w:w="269"/>
        <w:gridCol w:w="765"/>
        <w:gridCol w:w="152"/>
        <w:gridCol w:w="109"/>
        <w:gridCol w:w="109"/>
        <w:gridCol w:w="109"/>
        <w:gridCol w:w="935"/>
        <w:gridCol w:w="853"/>
        <w:gridCol w:w="855"/>
        <w:gridCol w:w="109"/>
        <w:gridCol w:w="109"/>
        <w:gridCol w:w="109"/>
        <w:gridCol w:w="374"/>
        <w:gridCol w:w="2009"/>
        <w:gridCol w:w="299"/>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Price</w:t>
              <w:br/>
              <w:t>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Program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Dollar Value that May Yet Be Purchased Under the Program</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2,548,919 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2,545,823 </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124,929,141 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124,929,141 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307,656 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305,744 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119,923,033 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2,858,561 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14.88 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2,851,567 </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119,923,033 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2" w:type="dxa"/>
            <w:gridSpan w:val="3"/>
            <w:tcBorders/>
            <w:vAlign w:val="center"/>
          </w:tcPr>
          <w:p>
            <w:pPr>
              <w:pStyle w:val="TableContents"/>
              <w:bidi w:val="0"/>
              <w:spacing w:before="0" w:after="283"/>
              <w:jc w:val="left"/>
              <w:rPr>
                <w:sz w:val="4"/>
                <w:szCs w:val="4"/>
              </w:rPr>
            </w:pPr>
            <w:r>
              <w:rPr>
                <w:sz w:val="4"/>
                <w:szCs w:val="4"/>
              </w:rPr>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9066"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2026, we also repurchased less than 0.1 million shares of our common stock at an average cost per share of $15.09, for a total cost of approximately $0.1 million, which were related to shares withheld to satisfy payroll tax withholding obligations as described above and not pursuant to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Item 3.    </w:t>
      </w:r>
      <w:r>
        <w:rPr>
          <w:rFonts w:ascii="Times New Roman;serif" w:hAnsi="Times New Roman;serif"/>
          <w:b/>
          <w:i/>
          <w:color w:val="000000"/>
          <w:sz w:val="20"/>
        </w:rPr>
        <w:t>Defaults upon Senior Securities</w:t>
      </w:r>
    </w:p>
    <w:p>
      <w:pPr>
        <w:pStyle w:val="TextBody"/>
        <w:bidi w:val="0"/>
        <w:spacing w:lineRule="auto" w:line="288" w:before="12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pPr>
      <w:r>
        <w:rPr>
          <w:rFonts w:ascii="Times New Roman;serif" w:hAnsi="Times New Roman;serif"/>
          <w:b/>
          <w:color w:val="000000"/>
          <w:sz w:val="20"/>
        </w:rPr>
        <w:t>Item 4.    </w:t>
      </w:r>
      <w:r>
        <w:rPr>
          <w:rFonts w:ascii="Times New Roman;serif" w:hAnsi="Times New Roman;serif"/>
          <w:b/>
          <w:i/>
          <w:color w:val="000000"/>
          <w:sz w:val="20"/>
        </w:rPr>
        <w:t>Mine Safety Disclosures</w:t>
      </w:r>
    </w:p>
    <w:p>
      <w:pPr>
        <w:pStyle w:val="TextBody"/>
        <w:bidi w:val="0"/>
        <w:spacing w:lineRule="auto" w:line="288" w:before="120" w:after="283"/>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16610"/>
                <wp:effectExtent l="0" t="0" r="0" b="0"/>
                <wp:wrapNone/>
                <wp:docPr id="48" name="Frame48"/>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180" w:after="283"/>
        <w:jc w:val="both"/>
        <w:rPr/>
      </w:pPr>
      <w:r>
        <w:rPr>
          <w:rFonts w:ascii="Times New Roman;serif" w:hAnsi="Times New Roman;serif"/>
          <w:b/>
          <w:color w:val="000000"/>
          <w:sz w:val="20"/>
        </w:rPr>
        <w:t>Item 5.    </w:t>
      </w:r>
      <w:r>
        <w:rPr>
          <w:rFonts w:ascii="Times New Roman;serif" w:hAnsi="Times New Roman;serif"/>
          <w:b/>
          <w:i/>
          <w:color w:val="000000"/>
          <w:sz w:val="20"/>
        </w:rPr>
        <w:t>Other Information</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10b5-1 Trading Arrangements</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officers or directors adopted or terminated any contract, instruction or written plan for the purchase or sale of our securities that was intended to satisfy the affirmative defense conditions of Rule 10b5-1(c) or any “non 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16610"/>
                <wp:effectExtent l="0" t="0" r="0" b="0"/>
                <wp:wrapNone/>
                <wp:docPr id="49" name="Frame49"/>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jc w:val="left"/>
        <w:rPr/>
      </w:pPr>
      <w:r>
        <w:rPr>
          <w:rFonts w:ascii="Times New Roman;serif" w:hAnsi="Times New Roman;serif"/>
          <w:b/>
          <w:color w:val="000000"/>
          <w:sz w:val="20"/>
        </w:rPr>
        <w:t>Item 6.    </w:t>
      </w:r>
      <w:r>
        <w:rPr>
          <w:rFonts w:ascii="Times New Roman;serif" w:hAnsi="Times New Roman;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02"/>
        <w:gridCol w:w="269"/>
        <w:gridCol w:w="109"/>
        <w:gridCol w:w="109"/>
        <w:gridCol w:w="109"/>
        <w:gridCol w:w="109"/>
        <w:gridCol w:w="3056"/>
        <w:gridCol w:w="2935"/>
        <w:gridCol w:w="2943"/>
        <w:gridCol w:w="109"/>
        <w:gridCol w:w="155"/>
      </w:tblGrid>
      <w:tr>
        <w:trPr/>
        <w:tc>
          <w:tcPr>
            <w:tcW w:w="3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00"/>
                  <w:sz w:val="18"/>
                </w:rPr>
                <w:t>Fourth Restated Certificate of Incorporation of the Company, incorporated herein by this reference to Exhibit 3.2 to the Company’s Current Report on Form 8-K, as filed with the Commission on January 16, 2026 (file no. 1-10962).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80"/>
                  <w:sz w:val="18"/>
                </w:rPr>
                <w:t>Amended and Restated Bylaws of the Company, incorporated herein by this reference to Exhibit 3.3 to the Company’s Current Report on Form 8-K, as filed with the Commission on January 16, 2026 (file no</w:t>
              </w:r>
            </w:hyperlink>
            <w:hyperlink r:id="rId4">
              <w:r>
                <w:rPr>
                  <w:rStyle w:val="InternetLink"/>
                  <w:rFonts w:ascii="Times New Roman;serif" w:hAnsi="Times New Roman;serif"/>
                  <w:b w:val="false"/>
                  <w:color w:val="000080"/>
                  <w:sz w:val="18"/>
                </w:rPr>
                <w:t>.</w:t>
              </w:r>
            </w:hyperlink>
            <w:hyperlink r:id="rId5">
              <w:r>
                <w:rPr>
                  <w:rStyle w:val="InternetLink"/>
                  <w:rFonts w:ascii="Times New Roman;serif" w:hAnsi="Times New Roman;serif"/>
                  <w:b w:val="false"/>
                  <w:color w:val="000080"/>
                  <w:sz w:val="18"/>
                </w:rPr>
                <w:t xml:space="preserve"> 1-10962).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00"/>
                  <w:sz w:val="18"/>
                </w:rPr>
                <w:t>Amended and Restated Officer Employment Agreement, effective as of May 7, 2026, by and between the Company and Oliver G. Brewer III, incorporated herein by this reference to Exhibit 10.1 to the Company’s Quarterly Report on Form 10-Q for the quarter ended March 31, 2026, as filed with the Commission on May 8, 2026 (file no. 1-10962).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80"/>
                  <w:sz w:val="18"/>
                </w:rPr>
                <w:t>Amended and Restated Officer Employment Agreement, effective as of May 7, 2026, by and between the Company and Brian P. Lynch</w:t>
              </w:r>
            </w:hyperlink>
            <w:hyperlink r:id="rId8">
              <w:r>
                <w:rPr>
                  <w:rStyle w:val="InternetLink"/>
                  <w:rFonts w:ascii="Times New Roman;serif" w:hAnsi="Times New Roman;serif"/>
                  <w:b w:val="false"/>
                  <w:color w:val="000080"/>
                  <w:sz w:val="18"/>
                </w:rPr>
                <w:t>, incorporated herein by this reference to Exhibit 10.</w:t>
              </w:r>
            </w:hyperlink>
            <w:hyperlink r:id="rId9">
              <w:r>
                <w:rPr>
                  <w:rStyle w:val="InternetLink"/>
                  <w:rFonts w:ascii="Times New Roman;serif" w:hAnsi="Times New Roman;serif"/>
                  <w:b w:val="false"/>
                  <w:color w:val="000080"/>
                  <w:sz w:val="18"/>
                </w:rPr>
                <w:t>2</w:t>
              </w:r>
            </w:hyperlink>
            <w:hyperlink r:id="rId10">
              <w:r>
                <w:rPr>
                  <w:rStyle w:val="InternetLink"/>
                  <w:rFonts w:ascii="Times New Roman;serif" w:hAnsi="Times New Roman;serif"/>
                  <w:b w:val="false"/>
                  <w:color w:val="000080"/>
                  <w:sz w:val="18"/>
                </w:rPr>
                <w:t xml:space="preserve"> to the Company’s Quarterly Report on Form 10-Q for the quarter ended March 31, 2026, as filed with the Commission on May 8, 2026 (file no. 1-10962).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00"/>
                  <w:sz w:val="18"/>
                </w:rPr>
                <w:t>Amended and Restated Officer Employment Agreement, effective as of May 7, 2026, by and between the Company and Glenn F. Hickey, incorporated herein by this reference to Exhibit 10.3 to the Company’s Quarterly Report on Form 10-Q for the quarter ended March 31, 2026, as filed with the Commission on May 8, 2026 (file no. 1-10962).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00"/>
                  <w:sz w:val="18"/>
                </w:rPr>
                <w:t>Amended and Restated Officer Employment Agreement, effective as of May 7, 2026, by and between the Company and Mark F. Leposky, incorporated herein by this reference to Exhibit 10.4 to the Company’s Quarterly Report on Form 10-Q for the quarter ended March 31, 2026, as filed with the Commission on May 8, 2026 (file no. 1-10962).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80"/>
                  <w:sz w:val="18"/>
                </w:rPr>
                <w:t>Amended and Restated Officer Employment Agreement, effective as of May 7, 2026, by and between the Company and Timothy R. Reed</w:t>
              </w:r>
            </w:hyperlink>
            <w:hyperlink r:id="rId14">
              <w:r>
                <w:rPr>
                  <w:rStyle w:val="InternetLink"/>
                  <w:rFonts w:ascii="Times New Roman;serif" w:hAnsi="Times New Roman;serif"/>
                  <w:b w:val="false"/>
                  <w:color w:val="000080"/>
                  <w:sz w:val="18"/>
                </w:rPr>
                <w:t>, incorporated herein by this reference to Exhibit 10.</w:t>
              </w:r>
            </w:hyperlink>
            <w:hyperlink r:id="rId15">
              <w:r>
                <w:rPr>
                  <w:rStyle w:val="InternetLink"/>
                  <w:rFonts w:ascii="Times New Roman;serif" w:hAnsi="Times New Roman;serif"/>
                  <w:b w:val="false"/>
                  <w:color w:val="000080"/>
                  <w:sz w:val="18"/>
                </w:rPr>
                <w:t>5</w:t>
              </w:r>
            </w:hyperlink>
            <w:hyperlink r:id="rId16">
              <w:r>
                <w:rPr>
                  <w:rStyle w:val="InternetLink"/>
                  <w:rFonts w:ascii="Times New Roman;serif" w:hAnsi="Times New Roman;serif"/>
                  <w:b w:val="false"/>
                  <w:color w:val="000080"/>
                  <w:sz w:val="18"/>
                </w:rPr>
                <w:t xml:space="preserve"> to the Company’s Quarterly Report on Form 10-Q for the quarter ended March 31, 2026, as filed with the Commission on May 8, 2026 (file no. 1-10962).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00"/>
                  <w:sz w:val="18"/>
                </w:rPr>
                <w:t>Amended and Restated Officer Employment Agreement, effective as of May 7, 2026, by and between the Company and Angela J. Deskins, incorporated herein by this reference to Exhibit 10.6 to the Company’s Quarterly Report on Form 10-Q for the quarter ended March 31, 2026, as filed with the Commission on May 8, 2026 (file no. 1-10962).</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00"/>
                  <w:sz w:val="18"/>
                </w:rPr>
                <w:t xml:space="preserve">Indemnification Agreement, dated as of May 21, 2026, by and between the Company and Thomas G. Dundon, incorporated herein by this reference to Exhibit 10.1 to the Company’s Current Report on Form 8-K as filed with the Commission on May 26, 2026 (file no. 1-10962). </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00"/>
                  <w:sz w:val="18"/>
                </w:rPr>
                <w:t xml:space="preserve">Indemnification Agreement, dated as of May 21, 2026, by and between the Company and Mark D. Mandel, incorporated herein by this reference to Exhibit 10.2 to the Company’s Current Report on Form 8-K as filed with the Commission on May 26, 2026 (file no. 1-10962). </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1caly-exx311q22026.htm">
              <w:r>
                <w:rPr>
                  <w:rStyle w:val="InternetLink"/>
                  <w:rFonts w:ascii="Times New Roman;serif" w:hAnsi="Times New Roman;serif"/>
                  <w:b w:val="false"/>
                  <w:color w:val="000000"/>
                  <w:sz w:val="18"/>
                </w:rPr>
                <w:t>Certification of Oliver G. Brewer III pursuant to Rule 13a-14(a) or 15d-14(a), as adopted pursuant to Section 302 of the Sarbanes-Oxley Act of 2002. †</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caly-exx312q22026.htm">
              <w:r>
                <w:rPr>
                  <w:rStyle w:val="InternetLink"/>
                  <w:rFonts w:ascii="Times New Roman;serif" w:hAnsi="Times New Roman;serif"/>
                  <w:b w:val="false"/>
                  <w:color w:val="000000"/>
                  <w:sz w:val="18"/>
                </w:rPr>
                <w:t>Certification of Brian P. Lynch pursuant to Rule 13a-14(a) or 15d-14(a), as adopted pursuant to Section 302 of the Sarbanes-Oxley Act of 2002. †</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3caly-exx321q22026.htm">
              <w:r>
                <w:rPr>
                  <w:rStyle w:val="InternetLink"/>
                  <w:rFonts w:ascii="Times New Roman;serif" w:hAnsi="Times New Roman;serif"/>
                  <w:b w:val="false"/>
                  <w:color w:val="000000"/>
                  <w:sz w:val="18"/>
                </w:rPr>
                <w:t>Certification of Oliver G. Brewer III and Brian P. Lynch pursuant to 18 U.S.C. Section 1350, as adopted pursuant to Section 906 of the Sarbanes-Oxley Act of 2002. †</w:t>
              </w:r>
            </w:hyperlink>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Schema Document †</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 †</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 †</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Label Linkbase Document †</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 †</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 †</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Included with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40410"/>
                <wp:effectExtent l="0" t="0" r="0" b="0"/>
                <wp:wrapNone/>
                <wp:docPr id="50" name="Frame5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3349" w:type="dxa"/>
        <w:jc w:val="right"/>
        <w:tblInd w:w="0" w:type="dxa"/>
        <w:tblLayout w:type="fixed"/>
        <w:tblCellMar>
          <w:top w:w="28" w:type="dxa"/>
          <w:left w:w="28" w:type="dxa"/>
          <w:bottom w:w="28" w:type="dxa"/>
          <w:right w:w="28" w:type="dxa"/>
        </w:tblCellMar>
      </w:tblPr>
      <w:tblGrid>
        <w:gridCol w:w="485"/>
        <w:gridCol w:w="427"/>
        <w:gridCol w:w="427"/>
        <w:gridCol w:w="586"/>
        <w:gridCol w:w="586"/>
        <w:gridCol w:w="838"/>
      </w:tblGrid>
      <w:tr>
        <w:trPr/>
        <w:tc>
          <w:tcPr>
            <w:tcW w:w="48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33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CALLAWAY GOLF COMPANY</w:t>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Jennifer Thomas</w:t>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Jennifer Thomas</w:t>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Vice President and</w:t>
              <w:br/>
              <w:t>Chief Accounting Officer</w:t>
            </w:r>
          </w:p>
        </w:tc>
      </w:tr>
    </w:tbl>
    <w:p>
      <w:pPr>
        <w:pStyle w:val="TextBody"/>
        <w:bidi w:val="0"/>
        <w:spacing w:lineRule="auto" w:line="288" w:before="180" w:after="283"/>
        <w:jc w:val="both"/>
        <w:rPr/>
      </w:pPr>
      <w:r>
        <w:rPr>
          <w:rFonts w:ascii="Times New Roman;serif" w:hAnsi="Times New Roman;serif"/>
          <w:b w:val="false"/>
          <w:color w:val="000000"/>
          <w:sz w:val="20"/>
        </w:rPr>
        <w:t>Date:</w:t>
      </w:r>
      <w:r>
        <w:rPr>
          <w:color w:val="000000"/>
          <w:shd w:fill="FFFFFF" w:val="clear"/>
        </w:rPr>
        <w:t xml:space="preserve"> </w:t>
      </w:r>
      <w:r>
        <w:rPr>
          <w:rFonts w:ascii="Times New Roman;serif" w:hAnsi="Times New Roman;serif"/>
          <w:b w:val="false"/>
          <w:color w:val="000000"/>
          <w:sz w:val="20"/>
          <w:shd w:fill="FFFFFF" w:val="clear"/>
        </w:rPr>
        <w:t>August 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16610"/>
                <wp:effectExtent l="0" t="0" r="0" b="0"/>
                <wp:wrapNone/>
                <wp:docPr id="51" name="Frame51"/>
                <a:graphic xmlns:a="http://schemas.openxmlformats.org/drawingml/2006/main">
                  <a:graphicData uri="http://schemas.microsoft.com/office/word/2010/wordprocessingShape">
                    <wps:wsp>
                      <wps:cNvSpPr txBox="1"/>
                      <wps:spPr>
                        <a:xfrm>
                          <a:off x="0" y="0"/>
                          <a:ext cx="6480175" cy="816610"/>
                        </a:xfrm>
                        <a:prstGeom prst="rect"/>
                        <a:solidFill>
                          <a:srgbClr val="FFFFFF"/>
                        </a:solidFill>
                      </wps:spPr>
                      <wps:txb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p>
                      <w:pPr>
                        <w:pStyle w:val="TextBody"/>
                        <w:bidi w:val="0"/>
                        <w:spacing w:before="100" w:after="283"/>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Oliver G. Brewer III, certify that: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Callaway Golf Company;</w:t>
      </w:r>
    </w:p>
    <w:p>
      <w:pPr>
        <w:pStyle w:val="TextBody"/>
        <w:bidi w:val="0"/>
        <w:spacing w:lineRule="auto" w:line="288" w:before="0" w:after="0"/>
        <w:ind w:left="0" w:right="0" w:hanging="135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135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135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99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99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99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99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2910" w:type="dxa"/>
        <w:jc w:val="right"/>
        <w:tblInd w:w="0" w:type="dxa"/>
        <w:tblLayout w:type="fixed"/>
        <w:tblCellMar>
          <w:top w:w="28" w:type="dxa"/>
          <w:left w:w="28" w:type="dxa"/>
          <w:bottom w:w="28" w:type="dxa"/>
          <w:right w:w="28" w:type="dxa"/>
        </w:tblCellMar>
      </w:tblPr>
      <w:tblGrid>
        <w:gridCol w:w="932"/>
        <w:gridCol w:w="819"/>
        <w:gridCol w:w="1159"/>
      </w:tblGrid>
      <w:tr>
        <w:trPr/>
        <w:tc>
          <w:tcPr>
            <w:tcW w:w="9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O</w:t>
            </w:r>
            <w:r>
              <w:rPr>
                <w:rFonts w:ascii="Times New Roman;serif" w:hAnsi="Times New Roman;serif"/>
                <w:b w:val="false"/>
                <w:color w:val="000000"/>
                <w:sz w:val="16"/>
              </w:rPr>
              <w:t>LIVER</w:t>
            </w:r>
            <w:r>
              <w:rPr>
                <w:color w:val="000000"/>
              </w:rPr>
              <w:t xml:space="preserve"> </w:t>
            </w:r>
            <w:r>
              <w:rPr>
                <w:rFonts w:ascii="Times New Roman;serif" w:hAnsi="Times New Roman;serif"/>
                <w:b w:val="false"/>
                <w:color w:val="000000"/>
                <w:sz w:val="20"/>
              </w:rPr>
              <w:t>G. B</w:t>
            </w:r>
            <w:r>
              <w:rPr>
                <w:rFonts w:ascii="Times New Roman;serif" w:hAnsi="Times New Roman;serif"/>
                <w:b w:val="false"/>
                <w:color w:val="000000"/>
                <w:sz w:val="16"/>
              </w:rPr>
              <w:t>REWER</w:t>
            </w:r>
            <w:r>
              <w:rPr>
                <w:color w:val="000000"/>
              </w:rPr>
              <w:t xml:space="preserve"> </w:t>
            </w:r>
            <w:r>
              <w:rPr>
                <w:rFonts w:ascii="Times New Roman;serif" w:hAnsi="Times New Roman;serif"/>
                <w:b w:val="false"/>
                <w:color w:val="000000"/>
                <w:sz w:val="20"/>
              </w:rPr>
              <w:t>III</w:t>
            </w:r>
          </w:p>
        </w:tc>
      </w:tr>
      <w:tr>
        <w:trPr/>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Oliver G. Brewer III</w:t>
              <w:br/>
              <w:t>President and Chief Executive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Dated: August 4,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Brian P. Lynch, certify that: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Callaway Golf Company;</w:t>
      </w:r>
    </w:p>
    <w:p>
      <w:pPr>
        <w:pStyle w:val="TextBody"/>
        <w:bidi w:val="0"/>
        <w:spacing w:lineRule="auto" w:line="288" w:before="0" w:after="0"/>
        <w:ind w:left="0" w:right="0" w:hanging="45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45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45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63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63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63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630"/>
        <w:jc w:val="both"/>
        <w:rPr>
          <w:color w:val="000000"/>
        </w:rPr>
      </w:pPr>
      <w:r>
        <w:rPr>
          <w:color w:val="000000"/>
        </w:rPr>
        <w:t> </w:t>
      </w:r>
    </w:p>
    <w:p>
      <w:pPr>
        <w:pStyle w:val="TextBody"/>
        <w:bidi w:val="0"/>
        <w:spacing w:lineRule="auto" w:line="288" w:before="0" w:after="0"/>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3990" w:type="dxa"/>
        <w:jc w:val="right"/>
        <w:tblInd w:w="0" w:type="dxa"/>
        <w:tblLayout w:type="fixed"/>
        <w:tblCellMar>
          <w:top w:w="28" w:type="dxa"/>
          <w:left w:w="28" w:type="dxa"/>
          <w:bottom w:w="28" w:type="dxa"/>
          <w:right w:w="28" w:type="dxa"/>
        </w:tblCellMar>
      </w:tblPr>
      <w:tblGrid>
        <w:gridCol w:w="1274"/>
        <w:gridCol w:w="1121"/>
        <w:gridCol w:w="1595"/>
      </w:tblGrid>
      <w:tr>
        <w:trPr/>
        <w:tc>
          <w:tcPr>
            <w:tcW w:w="12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w:t>
            </w:r>
            <w:r>
              <w:rPr>
                <w:rFonts w:ascii="Times New Roman;serif" w:hAnsi="Times New Roman;serif"/>
                <w:b w:val="false"/>
                <w:color w:val="000000"/>
                <w:sz w:val="16"/>
              </w:rPr>
              <w:t>RIAN</w:t>
            </w:r>
            <w:r>
              <w:rPr>
                <w:color w:val="000000"/>
              </w:rPr>
              <w:t xml:space="preserve"> </w:t>
            </w:r>
            <w:r>
              <w:rPr>
                <w:rFonts w:ascii="Times New Roman;serif" w:hAnsi="Times New Roman;serif"/>
                <w:b w:val="false"/>
                <w:color w:val="000000"/>
                <w:sz w:val="20"/>
              </w:rPr>
              <w:t>P. L</w:t>
            </w:r>
            <w:r>
              <w:rPr>
                <w:rFonts w:ascii="Times New Roman;serif" w:hAnsi="Times New Roman;serif"/>
                <w:b w:val="false"/>
                <w:color w:val="000000"/>
                <w:sz w:val="16"/>
              </w:rPr>
              <w:t>YNCH</w:t>
            </w:r>
            <w:r>
              <w:rPr>
                <w:color w:val="000000"/>
              </w:rPr>
              <w:t xml:space="preserve"> </w:t>
            </w:r>
          </w:p>
        </w:tc>
      </w:tr>
      <w:tr>
        <w:trPr/>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Brian P. Lynch</w:t>
              <w:br/>
              <w:t>Executive Vice President and Chief Financial Officer</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Dated: August 4,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each of the undersigned officers of Callaway Golf Company, a Delaware corporation (the “Company”), does hereby certify with respect to the Quarterly Report of the Company on Form 10-Q for the quarter ended June 30, 2026, as filed with the Securities and Exchange Commission (the “10-Q Report”), that:</w:t>
      </w:r>
    </w:p>
    <w:p>
      <w:pPr>
        <w:pStyle w:val="TextBody"/>
        <w:bidi w:val="0"/>
        <w:spacing w:lineRule="auto" w:line="288" w:before="10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(1) the 10-Q Report fully complies with the requirements of Sections 13(a) or 15(d) of the Securities Exchange Act of 1934, as amended; and</w:t>
      </w:r>
    </w:p>
    <w:p>
      <w:pPr>
        <w:pStyle w:val="TextBody"/>
        <w:bidi w:val="0"/>
        <w:spacing w:lineRule="auto" w:line="288" w:before="10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10-Q Report fairly presents, in all material respects, the financial condition and results of operations of the Company.</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undersigned have executed this Certification effective as of August 4, 2026.</w:t>
      </w:r>
    </w:p>
    <w:p>
      <w:pPr>
        <w:pStyle w:val="TextBody"/>
        <w:bidi w:val="0"/>
        <w:spacing w:lineRule="auto" w:line="288" w:before="0" w:after="0"/>
        <w:jc w:val="both"/>
        <w:rPr>
          <w:color w:val="000000"/>
        </w:rPr>
      </w:pPr>
      <w:r>
        <w:rPr>
          <w:color w:val="000000"/>
        </w:rPr>
        <w:t> </w:t>
      </w:r>
    </w:p>
    <w:tbl>
      <w:tblPr>
        <w:tblW w:w="2910" w:type="dxa"/>
        <w:jc w:val="right"/>
        <w:tblInd w:w="0" w:type="dxa"/>
        <w:tblLayout w:type="fixed"/>
        <w:tblCellMar>
          <w:top w:w="28" w:type="dxa"/>
          <w:left w:w="28" w:type="dxa"/>
          <w:bottom w:w="28" w:type="dxa"/>
          <w:right w:w="28" w:type="dxa"/>
        </w:tblCellMar>
      </w:tblPr>
      <w:tblGrid>
        <w:gridCol w:w="932"/>
        <w:gridCol w:w="819"/>
        <w:gridCol w:w="1159"/>
      </w:tblGrid>
      <w:tr>
        <w:trPr/>
        <w:tc>
          <w:tcPr>
            <w:tcW w:w="9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O</w:t>
            </w:r>
            <w:r>
              <w:rPr>
                <w:rFonts w:ascii="Times New Roman;serif" w:hAnsi="Times New Roman;serif"/>
                <w:b w:val="false"/>
                <w:color w:val="000000"/>
                <w:sz w:val="16"/>
              </w:rPr>
              <w:t>LIVER</w:t>
            </w:r>
            <w:r>
              <w:rPr>
                <w:color w:val="000000"/>
              </w:rPr>
              <w:t xml:space="preserve"> </w:t>
            </w:r>
            <w:r>
              <w:rPr>
                <w:rFonts w:ascii="Times New Roman;serif" w:hAnsi="Times New Roman;serif"/>
                <w:b w:val="false"/>
                <w:color w:val="000000"/>
                <w:sz w:val="20"/>
              </w:rPr>
              <w:t>G. B</w:t>
            </w:r>
            <w:r>
              <w:rPr>
                <w:rFonts w:ascii="Times New Roman;serif" w:hAnsi="Times New Roman;serif"/>
                <w:b w:val="false"/>
                <w:color w:val="000000"/>
                <w:sz w:val="16"/>
              </w:rPr>
              <w:t>REWER</w:t>
            </w:r>
            <w:r>
              <w:rPr>
                <w:color w:val="000000"/>
              </w:rPr>
              <w:t xml:space="preserve"> </w:t>
            </w:r>
            <w:r>
              <w:rPr>
                <w:rFonts w:ascii="Times New Roman;serif" w:hAnsi="Times New Roman;serif"/>
                <w:b w:val="false"/>
                <w:color w:val="000000"/>
                <w:sz w:val="20"/>
              </w:rPr>
              <w:t>III</w:t>
            </w:r>
          </w:p>
        </w:tc>
      </w:tr>
      <w:tr>
        <w:trPr/>
        <w:tc>
          <w:tcPr>
            <w:tcW w:w="2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Oliver G. Brewer III</w:t>
              <w:br/>
              <w:t>President and Chief Executive Officer</w:t>
            </w:r>
          </w:p>
        </w:tc>
      </w:tr>
    </w:tbl>
    <w:p>
      <w:pPr>
        <w:pStyle w:val="TextBody"/>
        <w:bidi w:val="0"/>
        <w:spacing w:lineRule="auto" w:line="288" w:before="0" w:after="0"/>
        <w:jc w:val="both"/>
        <w:rPr>
          <w:color w:val="000000"/>
        </w:rPr>
      </w:pPr>
      <w:r>
        <w:rPr>
          <w:color w:val="000000"/>
        </w:rPr>
        <w:t> </w:t>
      </w:r>
    </w:p>
    <w:tbl>
      <w:tblPr>
        <w:tblW w:w="3990" w:type="dxa"/>
        <w:jc w:val="right"/>
        <w:tblInd w:w="0" w:type="dxa"/>
        <w:tblLayout w:type="fixed"/>
        <w:tblCellMar>
          <w:top w:w="28" w:type="dxa"/>
          <w:left w:w="28" w:type="dxa"/>
          <w:bottom w:w="28" w:type="dxa"/>
          <w:right w:w="28" w:type="dxa"/>
        </w:tblCellMar>
      </w:tblPr>
      <w:tblGrid>
        <w:gridCol w:w="1274"/>
        <w:gridCol w:w="1121"/>
        <w:gridCol w:w="1595"/>
      </w:tblGrid>
      <w:tr>
        <w:trPr/>
        <w:tc>
          <w:tcPr>
            <w:tcW w:w="127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w:t>
            </w:r>
            <w:r>
              <w:rPr>
                <w:rFonts w:ascii="Times New Roman;serif" w:hAnsi="Times New Roman;serif"/>
                <w:b w:val="false"/>
                <w:color w:val="000000"/>
                <w:sz w:val="16"/>
              </w:rPr>
              <w:t>RIAN</w:t>
            </w:r>
            <w:r>
              <w:rPr>
                <w:color w:val="000000"/>
              </w:rPr>
              <w:t xml:space="preserve"> </w:t>
            </w:r>
            <w:r>
              <w:rPr>
                <w:rFonts w:ascii="Times New Roman;serif" w:hAnsi="Times New Roman;serif"/>
                <w:b w:val="false"/>
                <w:color w:val="000000"/>
                <w:sz w:val="20"/>
              </w:rPr>
              <w:t>P. L</w:t>
            </w:r>
            <w:r>
              <w:rPr>
                <w:rFonts w:ascii="Times New Roman;serif" w:hAnsi="Times New Roman;serif"/>
                <w:b w:val="false"/>
                <w:color w:val="000000"/>
                <w:sz w:val="16"/>
              </w:rPr>
              <w:t>YNCH</w:t>
            </w:r>
            <w:r>
              <w:rPr>
                <w:color w:val="000000"/>
              </w:rPr>
              <w:t xml:space="preserve"> </w:t>
            </w:r>
          </w:p>
        </w:tc>
      </w:tr>
      <w:tr>
        <w:trPr/>
        <w:tc>
          <w:tcPr>
            <w:tcW w:w="3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Brian P. Lynch</w:t>
              <w:br/>
              <w:t>Executive Vice President and Chief Financial Officer</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37465/000119312526014581/d77741dex32.htm" TargetMode="External"/><Relationship Id="rId3" Type="http://schemas.openxmlformats.org/officeDocument/2006/relationships/hyperlink" Target="https://www.sec.gov/Archives/edgar/data/837465/000119312526014581/d77741dex33.htm" TargetMode="External"/><Relationship Id="rId4" Type="http://schemas.openxmlformats.org/officeDocument/2006/relationships/hyperlink" Target="https://www.sec.gov/Archives/edgar/data/837465/000119312526014581/d77741dex33.htm" TargetMode="External"/><Relationship Id="rId5" Type="http://schemas.openxmlformats.org/officeDocument/2006/relationships/hyperlink" Target="https://www.sec.gov/Archives/edgar/data/837465/000119312526014581/d77741dex33.htm" TargetMode="External"/><Relationship Id="rId6" Type="http://schemas.openxmlformats.org/officeDocument/2006/relationships/hyperlink" Target="https://www.sec.gov/Archives/edgar/data/0000837465/000083746526000017/a1101breweroliver-employme.htm" TargetMode="External"/><Relationship Id="rId7" Type="http://schemas.openxmlformats.org/officeDocument/2006/relationships/hyperlink" Target="https://www.sec.gov/Archives/edgar/data/0000837465/000083746526000017/a2102lynchbrianp-employmen.htm" TargetMode="External"/><Relationship Id="rId8" Type="http://schemas.openxmlformats.org/officeDocument/2006/relationships/hyperlink" Target="https://www.sec.gov/Archives/edgar/data/0000837465/000083746526000017/a2102lynchbrianp-employmen.htm" TargetMode="External"/><Relationship Id="rId9" Type="http://schemas.openxmlformats.org/officeDocument/2006/relationships/hyperlink" Target="https://www.sec.gov/Archives/edgar/data/0000837465/000083746526000017/a2102lynchbrianp-employmen.htm" TargetMode="External"/><Relationship Id="rId10" Type="http://schemas.openxmlformats.org/officeDocument/2006/relationships/hyperlink" Target="https://www.sec.gov/Archives/edgar/data/0000837465/000083746526000017/a2102lynchbrianp-employmen.htm" TargetMode="External"/><Relationship Id="rId11" Type="http://schemas.openxmlformats.org/officeDocument/2006/relationships/hyperlink" Target="https://www.sec.gov/Archives/edgar/data/0000837465/000083746526000017/a3103hickeyglenn-employmen.htm" TargetMode="External"/><Relationship Id="rId12" Type="http://schemas.openxmlformats.org/officeDocument/2006/relationships/hyperlink" Target="https://www.sec.gov/Archives/edgar/data/0000837465/000083746526000017/a4104leposkymarkf-employme.htm" TargetMode="External"/><Relationship Id="rId13" Type="http://schemas.openxmlformats.org/officeDocument/2006/relationships/hyperlink" Target="https://www.sec.gov/Archives/edgar/data/0000837465/000083746526000017/a5105reedtimothy-employmen.htm" TargetMode="External"/><Relationship Id="rId14" Type="http://schemas.openxmlformats.org/officeDocument/2006/relationships/hyperlink" Target="https://www.sec.gov/Archives/edgar/data/0000837465/000083746526000017/a5105reedtimothy-employmen.htm" TargetMode="External"/><Relationship Id="rId15" Type="http://schemas.openxmlformats.org/officeDocument/2006/relationships/hyperlink" Target="https://www.sec.gov/Archives/edgar/data/0000837465/000083746526000017/a5105reedtimothy-employmen.htm" TargetMode="External"/><Relationship Id="rId16" Type="http://schemas.openxmlformats.org/officeDocument/2006/relationships/hyperlink" Target="https://www.sec.gov/Archives/edgar/data/0000837465/000083746526000017/a5105reedtimothy-employmen.htm" TargetMode="External"/><Relationship Id="rId17" Type="http://schemas.openxmlformats.org/officeDocument/2006/relationships/hyperlink" Target="https://www.sec.gov/Archives/edgar/data/0000837465/000083746526000017/a6106deskinsangela-employm.htm" TargetMode="External"/><Relationship Id="rId18" Type="http://schemas.openxmlformats.org/officeDocument/2006/relationships/hyperlink" Target="https://www.sec.gov/Archives/edgar/data/0000837465/000119312526239488/d56851dex101.htm" TargetMode="External"/><Relationship Id="rId19" Type="http://schemas.openxmlformats.org/officeDocument/2006/relationships/hyperlink" Target="https://www.sec.gov/Archives/edgar/data/0000837465/000119312526239488/d56851dex102.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26370</Words>
  <Characters>143939</Characters>
  <CharactersWithSpaces>168207</CharactersWithSpaces>
  <Paragraphs>4189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